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FE05D" w14:textId="3983FE7A" w:rsidR="00A3006E" w:rsidRDefault="005303F5" w:rsidP="00E26113">
      <w:pPr>
        <w:autoSpaceDE w:val="0"/>
        <w:autoSpaceDN w:val="0"/>
        <w:adjustRightInd w:val="0"/>
        <w:ind w:rightChars="875" w:right="1874"/>
        <w:rPr>
          <w:rFonts w:ascii="ＭＳ ゴシック" w:eastAsia="ＭＳ ゴシック" w:hAnsi="ＭＳ ゴシック"/>
          <w:kern w:val="0"/>
          <w:sz w:val="36"/>
        </w:rPr>
      </w:pPr>
      <w:r>
        <w:rPr>
          <w:rFonts w:ascii="ＭＳ ゴシック" w:eastAsia="ＭＳ ゴシック" w:hAnsi="ＭＳ ゴシック" w:hint="eastAsia"/>
          <w:kern w:val="0"/>
          <w:sz w:val="36"/>
        </w:rPr>
        <w:t>１　学校</w:t>
      </w:r>
    </w:p>
    <w:p w14:paraId="586F5F01" w14:textId="4F192FC8" w:rsidR="00A3006E" w:rsidRPr="003D784C" w:rsidRDefault="005303F5" w:rsidP="00687B02">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19390077">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EE22B0D"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439C9B67" w14:textId="10148430"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627BF2C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4C9DD66D">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066C625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0CAF8980">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3DECA791" w:rsidR="00003D24" w:rsidRDefault="00003D24" w:rsidP="00E26113">
      <w:pPr>
        <w:autoSpaceDE w:val="0"/>
        <w:autoSpaceDN w:val="0"/>
        <w:adjustRightInd w:val="0"/>
        <w:ind w:rightChars="900" w:right="1928"/>
        <w:rPr>
          <w:rFonts w:ascii="ＭＳ 明朝" w:hAnsi="ＭＳ 明朝"/>
          <w:kern w:val="0"/>
        </w:rPr>
      </w:pPr>
    </w:p>
    <w:p w14:paraId="09551458" w14:textId="2F76AC2C"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24D946AB"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129309ED"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7E4D74C" w:rsidR="00A3006E" w:rsidRDefault="00A3006E" w:rsidP="00E26113">
      <w:pPr>
        <w:autoSpaceDE w:val="0"/>
        <w:autoSpaceDN w:val="0"/>
        <w:adjustRightInd w:val="0"/>
        <w:ind w:rightChars="875" w:right="1874"/>
        <w:rPr>
          <w:rFonts w:ascii="ＭＳ 明朝" w:hAnsi="ＭＳ 明朝"/>
          <w:snapToGrid w:val="0"/>
          <w:kern w:val="0"/>
        </w:rPr>
      </w:pPr>
    </w:p>
    <w:p w14:paraId="61246137" w14:textId="77777777" w:rsidR="00224321" w:rsidRDefault="00224321" w:rsidP="00E26113">
      <w:pPr>
        <w:autoSpaceDE w:val="0"/>
        <w:autoSpaceDN w:val="0"/>
        <w:adjustRightInd w:val="0"/>
        <w:ind w:rightChars="875" w:right="1874"/>
        <w:rPr>
          <w:rFonts w:ascii="ＭＳ 明朝" w:hAnsi="ＭＳ 明朝"/>
          <w:snapToGrid w:val="0"/>
          <w:kern w:val="0"/>
        </w:rPr>
      </w:pPr>
    </w:p>
    <w:p w14:paraId="03AB006E" w14:textId="6C7FE889"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270E15F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hint="eastAsia"/>
          <w:kern w:val="0"/>
        </w:rPr>
        <w:t>(2) 学校の設置基準と教職員定数等</w:t>
      </w:r>
    </w:p>
    <w:p w14:paraId="523C2ED6" w14:textId="5F088C76" w:rsidR="00A3006E" w:rsidRDefault="00507618"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3F6F4437">
                <wp:simplePos x="0" y="0"/>
                <wp:positionH relativeFrom="column">
                  <wp:posOffset>4978812</wp:posOffset>
                </wp:positionH>
                <wp:positionV relativeFrom="margin">
                  <wp:posOffset>43815</wp:posOffset>
                </wp:positionV>
                <wp:extent cx="0" cy="8891905"/>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59B6CC06" id="オブジェクト 0" o:spid="_x0000_s1026" type="#_x0000_t32" style="position:absolute;left:0;text-align:left;margin-left:392.05pt;margin-top:3.45pt;width:0;height:700.15pt;z-index:-44040065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" strokecolor="windowText" strokeweight=".5pt">
                <v:stroke joinstyle="miter"/>
                <w10:wrap anchory="margin"/>
              </v:shape>
            </w:pict>
          </mc:Fallback>
        </mc:AlternateContent>
      </w:r>
      <w:r w:rsidR="005303F5">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sidR="005303F5">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sidR="005303F5">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sidR="005303F5">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6EDAE82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132C5296" w14:textId="7E51F04F" w:rsidR="00687B02" w:rsidRDefault="00687B0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rsidTr="00687B02">
        <w:trPr>
          <w:trHeight w:val="1248"/>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22F6E3FA" w14:textId="630E1423" w:rsidR="00A3006E" w:rsidRDefault="00687B02" w:rsidP="00687B02">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 xml:space="preserve">・同学年の児童で編制する学級　</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17F90599" w14:textId="77F61F43" w:rsidR="00687B02" w:rsidRPr="00093014" w:rsidRDefault="00093014" w:rsidP="00093014">
      <w:pPr>
        <w:autoSpaceDE w:val="0"/>
        <w:autoSpaceDN w:val="0"/>
        <w:adjustRightInd w:val="0"/>
        <w:ind w:leftChars="200" w:left="642" w:rightChars="900" w:right="1928" w:hangingChars="100" w:hanging="214"/>
        <w:rPr>
          <w:rFonts w:ascii="ＭＳ 明朝" w:hAnsi="ＭＳ 明朝"/>
          <w:snapToGrid w:val="0"/>
          <w:kern w:val="0"/>
        </w:rPr>
      </w:pPr>
      <w:r w:rsidRPr="00093014">
        <w:rPr>
          <w:rFonts w:ascii="ＭＳ 明朝" w:hAnsi="ＭＳ 明朝" w:hint="eastAsia"/>
          <w:snapToGrid w:val="0"/>
          <w:kern w:val="0"/>
        </w:rPr>
        <w:t>※</w:t>
      </w:r>
      <w:r>
        <w:rPr>
          <w:rFonts w:ascii="ＭＳ 明朝" w:hAnsi="ＭＳ 明朝" w:hint="eastAsia"/>
          <w:snapToGrid w:val="0"/>
          <w:kern w:val="0"/>
        </w:rPr>
        <w:t xml:space="preserve">　</w:t>
      </w:r>
      <w:r w:rsidR="001D2DBC" w:rsidRPr="00093014">
        <w:rPr>
          <w:rFonts w:ascii="ＭＳ 明朝" w:hAnsi="ＭＳ 明朝" w:hint="eastAsia"/>
          <w:snapToGrid w:val="0"/>
          <w:kern w:val="0"/>
        </w:rPr>
        <w:t>小学校の</w:t>
      </w:r>
      <w:r w:rsidRPr="00093014">
        <w:rPr>
          <w:rFonts w:ascii="ＭＳ 明朝" w:hAnsi="ＭＳ 明朝" w:hint="eastAsia"/>
          <w:snapToGrid w:val="0"/>
          <w:kern w:val="0"/>
        </w:rPr>
        <w:t>同学年</w:t>
      </w:r>
      <w:r>
        <w:rPr>
          <w:rFonts w:ascii="ＭＳ 明朝" w:hAnsi="ＭＳ 明朝" w:hint="eastAsia"/>
          <w:snapToGrid w:val="0"/>
          <w:kern w:val="0"/>
        </w:rPr>
        <w:t>の</w:t>
      </w:r>
      <w:r w:rsidRPr="00093014">
        <w:rPr>
          <w:rFonts w:ascii="ＭＳ 明朝" w:hAnsi="ＭＳ 明朝" w:hint="eastAsia"/>
          <w:snapToGrid w:val="0"/>
          <w:kern w:val="0"/>
        </w:rPr>
        <w:t>児童で編制する</w:t>
      </w:r>
      <w:r w:rsidR="001D2DBC" w:rsidRPr="00093014">
        <w:rPr>
          <w:rFonts w:ascii="ＭＳ 明朝" w:hAnsi="ＭＳ 明朝" w:hint="eastAsia"/>
          <w:snapToGrid w:val="0"/>
          <w:kern w:val="0"/>
        </w:rPr>
        <w:t>学級編制</w:t>
      </w:r>
      <w:r w:rsidR="00687B02" w:rsidRPr="00093014">
        <w:rPr>
          <w:rFonts w:ascii="ＭＳ 明朝" w:hAnsi="ＭＳ 明朝" w:hint="eastAsia"/>
          <w:snapToGrid w:val="0"/>
          <w:kern w:val="0"/>
        </w:rPr>
        <w:t>の基準は</w:t>
      </w:r>
      <w:r w:rsidR="00327286">
        <w:rPr>
          <w:rFonts w:ascii="ＭＳ 明朝" w:hAnsi="ＭＳ 明朝" w:hint="eastAsia"/>
          <w:snapToGrid w:val="0"/>
          <w:kern w:val="0"/>
        </w:rPr>
        <w:t>，</w:t>
      </w:r>
      <w:bookmarkStart w:id="0" w:name="_GoBack"/>
      <w:bookmarkEnd w:id="0"/>
      <w:r w:rsidR="001D2DBC" w:rsidRPr="00093014">
        <w:rPr>
          <w:rFonts w:ascii="ＭＳ 明朝" w:hAnsi="ＭＳ 明朝" w:hint="eastAsia"/>
          <w:snapToGrid w:val="0"/>
          <w:kern w:val="0"/>
        </w:rPr>
        <w:t>令和３年度から</w:t>
      </w:r>
      <w:r w:rsidRPr="00093014">
        <w:rPr>
          <w:rFonts w:ascii="ＭＳ 明朝" w:hAnsi="ＭＳ 明朝" w:hint="eastAsia"/>
          <w:snapToGrid w:val="0"/>
          <w:kern w:val="0"/>
        </w:rPr>
        <w:t>令和７年度にかけて，</w:t>
      </w:r>
      <w:r w:rsidR="00687B02" w:rsidRPr="00093014">
        <w:rPr>
          <w:rFonts w:ascii="ＭＳ 明朝" w:hAnsi="ＭＳ 明朝" w:hint="eastAsia"/>
          <w:snapToGrid w:val="0"/>
          <w:kern w:val="0"/>
        </w:rPr>
        <w:t>段階的に</w:t>
      </w:r>
      <w:r w:rsidRPr="00093014">
        <w:rPr>
          <w:rFonts w:ascii="ＭＳ 明朝" w:hAnsi="ＭＳ 明朝" w:hint="eastAsia"/>
          <w:snapToGrid w:val="0"/>
          <w:kern w:val="0"/>
        </w:rPr>
        <w:t>40人から</w:t>
      </w:r>
      <w:r w:rsidR="001D2DBC" w:rsidRPr="00093014">
        <w:rPr>
          <w:rFonts w:ascii="ＭＳ 明朝" w:hAnsi="ＭＳ 明朝" w:hint="eastAsia"/>
          <w:snapToGrid w:val="0"/>
          <w:kern w:val="0"/>
        </w:rPr>
        <w:t>35人に</w:t>
      </w:r>
      <w:r w:rsidR="00687B02" w:rsidRPr="00093014">
        <w:rPr>
          <w:rFonts w:ascii="ＭＳ 明朝" w:hAnsi="ＭＳ 明朝" w:hint="eastAsia"/>
          <w:snapToGrid w:val="0"/>
          <w:kern w:val="0"/>
        </w:rPr>
        <w:t>引き下げられる。</w:t>
      </w:r>
    </w:p>
    <w:p w14:paraId="755D0478" w14:textId="47BFE240" w:rsidR="00687B02" w:rsidRDefault="005303F5" w:rsidP="00687B02">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4B57943"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F66C25" w:rsidRPr="00275DDA">
        <w:rPr>
          <w:rFonts w:ascii="ＭＳ 明朝" w:hAnsi="ＭＳ 明朝" w:hint="eastAsia"/>
          <w:snapToGrid w:val="0"/>
          <w:kern w:val="0"/>
        </w:rPr>
        <w:t>３</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F66C25" w:rsidRPr="00275DDA">
        <w:rPr>
          <w:rFonts w:ascii="ＭＳ 明朝" w:hAnsi="ＭＳ 明朝" w:hint="eastAsia"/>
          <w:snapToGrid w:val="0"/>
          <w:kern w:val="0"/>
        </w:rPr>
        <w:t>，２</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27E460FF" w14:textId="36B2AF38" w:rsidR="00A3006E" w:rsidRDefault="00B81DE1" w:rsidP="00687B02">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14:paraId="7E0D26AE" w14:textId="145E52BD" w:rsidR="00A3006E" w:rsidRDefault="00D2693F"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w:lastRenderedPageBreak/>
        <mc:AlternateContent>
          <mc:Choice Requires="wps">
            <w:drawing>
              <wp:anchor distT="0" distB="0" distL="114300" distR="114300" simplePos="0" relativeHeight="251659264" behindDoc="0" locked="0" layoutInCell="1" allowOverlap="1" wp14:anchorId="4C75D97B" wp14:editId="6BCCAACA">
                <wp:simplePos x="0" y="0"/>
                <wp:positionH relativeFrom="margin">
                  <wp:posOffset>4968875</wp:posOffset>
                </wp:positionH>
                <wp:positionV relativeFrom="page">
                  <wp:posOffset>936786</wp:posOffset>
                </wp:positionV>
                <wp:extent cx="0" cy="8891905"/>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36F74E"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391.25pt,73.75pt" to="391.25pt,7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" strokecolor="black [3213]" strokeweight=".5pt">
                <v:stroke joinstyle="miter"/>
                <w10:wrap anchorx="margin" anchory="page"/>
              </v:line>
            </w:pict>
          </mc:Fallback>
        </mc:AlternateContent>
      </w:r>
      <w:r>
        <w:rPr>
          <w:noProof/>
        </w:rPr>
        <mc:AlternateContent>
          <mc:Choice Requires="wps">
            <w:drawing>
              <wp:anchor distT="0" distB="0" distL="114300" distR="114300" simplePos="0" relativeHeight="77434866" behindDoc="0" locked="0" layoutInCell="1" hidden="0" allowOverlap="1" wp14:anchorId="7E67D600" wp14:editId="0198D490">
                <wp:simplePos x="0" y="0"/>
                <wp:positionH relativeFrom="column">
                  <wp:posOffset>5027295</wp:posOffset>
                </wp:positionH>
                <wp:positionV relativeFrom="paragraph">
                  <wp:posOffset>-7137</wp:posOffset>
                </wp:positionV>
                <wp:extent cx="1115060" cy="248920"/>
                <wp:effectExtent l="0" t="0" r="0" b="0"/>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55pt;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sidR="005303F5">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sidR="005303F5">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sidR="005303F5">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4B0BC211" w14:textId="51D9C167" w:rsidR="00A3006E" w:rsidRPr="00D2693F" w:rsidRDefault="002C79C9" w:rsidP="00D2693F">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2238A255"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w:t>
      </w:r>
      <w:r w:rsidR="00D2693F">
        <w:rPr>
          <w:rFonts w:hint="eastAsia"/>
        </w:rPr>
        <w:t>，</w:t>
      </w:r>
      <w:r>
        <w:rPr>
          <w:rFonts w:hint="eastAsia"/>
        </w:rPr>
        <w:t>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40098348"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0120F3D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各学校が，自らの教育活動その他の学校運営について，目指すべき目標を設定し，その達成状況や達成に向けた取組の適切さ等について評価することにより，学校として組織的・継続的な改善を図ること。</w:t>
      </w:r>
    </w:p>
    <w:p w14:paraId="7DA7BB05" w14:textId="7C9B37E5" w:rsidR="00A3006E" w:rsidRDefault="00D2693F" w:rsidP="008A6CC1">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51672576" behindDoc="1" locked="0" layoutInCell="1" hidden="0" allowOverlap="1" wp14:anchorId="1D163F5B" wp14:editId="7E4C2442">
                <wp:simplePos x="0" y="0"/>
                <wp:positionH relativeFrom="margin">
                  <wp:posOffset>4968875</wp:posOffset>
                </wp:positionH>
                <wp:positionV relativeFrom="page">
                  <wp:posOffset>952026</wp:posOffset>
                </wp:positionV>
                <wp:extent cx="0" cy="8891905"/>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21B0AD4" id="_x0000_t32" coordsize="21600,21600" o:spt="32" o:oned="t" path="m,l21600,21600e" filled="f">
                <v:path arrowok="t" fillok="f" o:connecttype="none"/>
                <o:lock v:ext="edit" shapetype="t"/>
              </v:shapetype>
              <v:shape id="オブジェクト 0" o:spid="_x0000_s1026" type="#_x0000_t32" style="position:absolute;left:0;text-align:left;margin-left:391.25pt;margin-top:74.95pt;width:0;height:700.15pt;flip:x;z-index:-25164390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" strokecolor="windowText" strokeweight=".5pt">
                <v:stroke joinstyle="miter"/>
                <w10:wrap anchorx="margin" anchory="page"/>
              </v:shape>
            </w:pict>
          </mc:Fallback>
        </mc:AlternateContent>
      </w:r>
      <w:r w:rsidR="005303F5">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7BC8EA82" w14:textId="172836DE" w:rsidR="00A3006E" w:rsidRPr="00D2693F" w:rsidRDefault="005303F5" w:rsidP="00D2693F">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2D5AC183" w14:textId="46D93BCD" w:rsidR="00A3006E" w:rsidRDefault="005303F5" w:rsidP="00D2693F">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0DBE87CC" w14:textId="66EE0517" w:rsidR="00A3006E" w:rsidRDefault="005303F5" w:rsidP="008A6CC1">
      <w:pPr>
        <w:autoSpaceDE w:val="0"/>
        <w:autoSpaceDN w:val="0"/>
        <w:adjustRightInd w:val="0"/>
        <w:ind w:leftChars="100" w:left="214"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8A6CC1">
      <w:pPr>
        <w:autoSpaceDE w:val="0"/>
        <w:autoSpaceDN w:val="0"/>
        <w:adjustRightInd w:val="0"/>
        <w:ind w:leftChars="100" w:left="214"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7C738891" w14:textId="163DFBD7" w:rsidR="00A3006E" w:rsidRDefault="005303F5" w:rsidP="00A447E2">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737C97B7" w14:textId="63B6A759"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0AFB4D3"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73BE049A">
                <wp:simplePos x="0" y="0"/>
                <wp:positionH relativeFrom="column">
                  <wp:posOffset>4231920</wp:posOffset>
                </wp:positionH>
                <wp:positionV relativeFrom="paragraph">
                  <wp:posOffset>110539</wp:posOffset>
                </wp:positionV>
                <wp:extent cx="255320" cy="1332230"/>
                <wp:effectExtent l="0" t="0" r="11430" b="20320"/>
                <wp:wrapNone/>
                <wp:docPr id="1054" name="オブジェクト 0"/>
                <wp:cNvGraphicFramePr/>
                <a:graphic xmlns:a="http://schemas.openxmlformats.org/drawingml/2006/main">
                  <a:graphicData uri="http://schemas.microsoft.com/office/word/2010/wordprocessingShape">
                    <wps:wsp>
                      <wps:cNvSpPr/>
                      <wps:spPr>
                        <a:xfrm flipH="1">
                          <a:off x="0" y="0"/>
                          <a:ext cx="255320" cy="1332230"/>
                        </a:xfrm>
                        <a:prstGeom prst="leftBrace">
                          <a:avLst>
                            <a:gd name="adj1" fmla="val 0"/>
                            <a:gd name="adj2" fmla="val 24546"/>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1EBDE1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3.2pt;margin-top:8.7pt;width:20.1pt;height:104.9pt;flip:x;z-index:116152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" adj="0,5302" strokecolor="windowText"/>
            </w:pict>
          </mc:Fallback>
        </mc:AlternateContent>
      </w: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44183840">
                <wp:simplePos x="0" y="0"/>
                <wp:positionH relativeFrom="column">
                  <wp:posOffset>204882</wp:posOffset>
                </wp:positionH>
                <wp:positionV relativeFrom="paragraph">
                  <wp:posOffset>31750</wp:posOffset>
                </wp:positionV>
                <wp:extent cx="5080635" cy="1569720"/>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0BC0C" id="正方形/長方形 6" o:spid="_x0000_s1026" style="position:absolute;left:0;text-align:left;margin-left:16.15pt;margin-top:2.5pt;width:400.05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15E9880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付帯</w:t>
      </w:r>
    </w:p>
    <w:p w14:paraId="67162B93" w14:textId="03888A04"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191B3CF9">
                <wp:simplePos x="0" y="0"/>
                <wp:positionH relativeFrom="column">
                  <wp:posOffset>4775167</wp:posOffset>
                </wp:positionH>
                <wp:positionV relativeFrom="paragraph">
                  <wp:posOffset>222250</wp:posOffset>
                </wp:positionV>
                <wp:extent cx="0" cy="431800"/>
                <wp:effectExtent l="0" t="0" r="19050" b="2540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 w14:anchorId="3CE484BC" id="オブジェクト 0" o:spid="_x0000_s1026" type="#_x0000_t32" style="position:absolute;left:0;text-align:left;margin-left:376pt;margin-top:17.5pt;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" strokecolor="windowText">
                <v:stroke joinstyle="miter"/>
              </v:shape>
            </w:pict>
          </mc:Fallback>
        </mc:AlternateContent>
      </w:r>
      <w:r w:rsidR="005303F5">
        <w:rPr>
          <w:rFonts w:ascii="ＭＳ 明朝" w:hAnsi="ＭＳ 明朝" w:hint="eastAsia"/>
          <w:snapToGrid w:val="0"/>
          <w:kern w:val="0"/>
        </w:rPr>
        <w:t>校</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5303F5">
        <w:rPr>
          <w:rFonts w:ascii="ＭＳ 明朝" w:hAnsi="ＭＳ 明朝" w:hint="eastAsia"/>
          <w:snapToGrid w:val="0"/>
          <w:kern w:val="0"/>
        </w:rPr>
        <w:t>事務</w:t>
      </w:r>
    </w:p>
    <w:p w14:paraId="5892997E" w14:textId="3FDC5A7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282360B2">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w14:anchorId="50EFB7D5"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25B3525D">
                <wp:simplePos x="0" y="0"/>
                <wp:positionH relativeFrom="column">
                  <wp:posOffset>4425727</wp:posOffset>
                </wp:positionH>
                <wp:positionV relativeFrom="paragraph">
                  <wp:posOffset>224790</wp:posOffset>
                </wp:positionV>
                <wp:extent cx="501362" cy="444500"/>
                <wp:effectExtent l="0" t="0" r="1333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362" cy="444500"/>
                        </a:xfrm>
                        <a:prstGeom prst="bracketPair">
                          <a:avLst>
                            <a:gd name="adj" fmla="val 12429"/>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2ADD91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48.5pt;margin-top:17.7pt;width:39.5pt;height:35pt;z-index:125831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0216C5A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ＰＴＡ</w:t>
      </w:r>
    </w:p>
    <w:p w14:paraId="2D0824B2" w14:textId="44541A88" w:rsidR="00543BC4" w:rsidRDefault="005303F5" w:rsidP="00A447E2">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その他</w:t>
      </w: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0BF518B6"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w:t>
      </w:r>
      <w:r w:rsidR="00A447E2">
        <w:rPr>
          <w:rFonts w:ascii="ＭＳ 明朝" w:hAnsi="ＭＳ 明朝" w:hint="eastAsia"/>
          <w:snapToGrid w:val="0"/>
          <w:kern w:val="0"/>
        </w:rPr>
        <w:t>，</w:t>
      </w:r>
      <w:r>
        <w:rPr>
          <w:rFonts w:ascii="ＭＳ 明朝" w:hAnsi="ＭＳ 明朝" w:hint="eastAsia"/>
          <w:snapToGrid w:val="0"/>
          <w:kern w:val="0"/>
        </w:rPr>
        <w:t>教育機関である学校の職員として事務職員を位置づけている。</w:t>
      </w:r>
    </w:p>
    <w:p w14:paraId="2B672E7E" w14:textId="3FED27D4" w:rsidR="00A3006E" w:rsidRDefault="00B81DE1" w:rsidP="00A447E2">
      <w:pPr>
        <w:autoSpaceDE w:val="0"/>
        <w:autoSpaceDN w:val="0"/>
        <w:adjustRightInd w:val="0"/>
        <w:ind w:rightChars="900" w:right="1928" w:firstLineChars="100" w:firstLine="214"/>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A447E2">
        <w:rPr>
          <w:rFonts w:hint="eastAsia"/>
        </w:rPr>
        <w:t xml:space="preserve">イ　</w:t>
      </w:r>
      <w:r w:rsidR="005303F5">
        <w:rPr>
          <w:rFonts w:hint="eastAsia"/>
        </w:rPr>
        <w:t>事務職員の任命権者</w:t>
      </w:r>
    </w:p>
    <w:p w14:paraId="306F6374" w14:textId="5F9CF52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市町村教育委員会の所管する学校の事務職員は，市町村教育委員会の内申により都道府県教育委員会が任命する。県費負担教職員（事務職員を含む。）の任命権は都道府県教育委員会に属する。ただし</w:t>
      </w:r>
      <w:r w:rsidR="00897330">
        <w:rPr>
          <w:rFonts w:ascii="ＭＳ 明朝" w:hAnsi="ＭＳ 明朝" w:hint="eastAsia"/>
          <w:snapToGrid w:val="0"/>
          <w:kern w:val="0"/>
        </w:rPr>
        <w:t>，</w:t>
      </w:r>
      <w:r>
        <w:rPr>
          <w:rFonts w:ascii="ＭＳ 明朝" w:hAnsi="ＭＳ 明朝" w:hint="eastAsia"/>
          <w:snapToGrid w:val="0"/>
          <w:kern w:val="0"/>
        </w:rPr>
        <w:t>指定都市の設置する学校の県費負担教職員の任免等についての事務は</w:t>
      </w:r>
      <w:r w:rsidR="00897330">
        <w:rPr>
          <w:rFonts w:ascii="ＭＳ 明朝" w:hAnsi="ＭＳ 明朝" w:hint="eastAsia"/>
          <w:snapToGrid w:val="0"/>
          <w:kern w:val="0"/>
        </w:rPr>
        <w:t>，</w:t>
      </w:r>
      <w:r>
        <w:rPr>
          <w:rFonts w:ascii="ＭＳ 明朝" w:hAnsi="ＭＳ 明朝" w:hint="eastAsia"/>
          <w:snapToGrid w:val="0"/>
          <w:kern w:val="0"/>
        </w:rPr>
        <w:t>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08671503">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28DECEBC"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sidR="009D22B0" w:rsidRPr="00543BC4">
        <w:rPr>
          <w:rFonts w:ascii="ＭＳ 明朝" w:hAnsi="ＭＳ 明朝"/>
          <w:noProof/>
        </w:rPr>
        <mc:AlternateContent>
          <mc:Choice Requires="wps">
            <w:drawing>
              <wp:anchor distT="0" distB="0" distL="114300" distR="114300" simplePos="0" relativeHeight="212945878" behindDoc="0" locked="0" layoutInCell="1" hidden="0" allowOverlap="1" wp14:anchorId="1BFC427E" wp14:editId="1F7DEB32">
                <wp:simplePos x="0" y="0"/>
                <wp:positionH relativeFrom="margin">
                  <wp:posOffset>4968875</wp:posOffset>
                </wp:positionH>
                <wp:positionV relativeFrom="paragraph">
                  <wp:posOffset>662940</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52.2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Pr>
          <w:rFonts w:ascii="ＭＳ 明朝" w:hAnsi="ＭＳ 明朝" w:hint="eastAsia"/>
          <w:snapToGrid w:val="0"/>
          <w:kern w:val="0"/>
        </w:rPr>
        <w:t>委員会に委任されている。</w:t>
      </w:r>
    </w:p>
    <w:p w14:paraId="78CA29CB" w14:textId="75FC5FE2" w:rsidR="00897330" w:rsidRDefault="00897330" w:rsidP="00897330">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lastRenderedPageBreak/>
        <w:t xml:space="preserve">　ウ　学校事務職員の職務規定</w:t>
      </w:r>
    </w:p>
    <w:p w14:paraId="401147D2" w14:textId="57723EAF" w:rsidR="00A3006E" w:rsidRDefault="005303F5" w:rsidP="00897330">
      <w:pPr>
        <w:autoSpaceDE w:val="0"/>
        <w:autoSpaceDN w:val="0"/>
        <w:adjustRightInd w:val="0"/>
        <w:ind w:leftChars="400" w:left="857"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w:t>
      </w:r>
      <w:r w:rsidR="00897330">
        <w:rPr>
          <w:rFonts w:ascii="ＭＳ 明朝" w:hAnsi="ＭＳ 明朝" w:hint="eastAsia"/>
          <w:snapToGrid w:val="0"/>
          <w:kern w:val="0"/>
        </w:rPr>
        <w:t>の学校教育法</w:t>
      </w:r>
      <w:r w:rsidRPr="00543BC4">
        <w:rPr>
          <w:rFonts w:ascii="ＭＳ 明朝" w:hAnsi="ＭＳ 明朝" w:hint="eastAsia"/>
          <w:snapToGrid w:val="0"/>
          <w:kern w:val="0"/>
        </w:rPr>
        <w:t>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p>
    <w:p w14:paraId="71FD085F" w14:textId="7E23E2FF" w:rsidR="00A3006E" w:rsidRDefault="00897330"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エ</w:t>
      </w:r>
      <w:r w:rsidR="005303F5">
        <w:rPr>
          <w:rFonts w:ascii="ＭＳ 明朝" w:hAnsi="ＭＳ 明朝" w:hint="eastAsia"/>
          <w:snapToGrid w:val="0"/>
          <w:kern w:val="0"/>
        </w:rPr>
        <w:t xml:space="preserve">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020C850F" w14:textId="4323D5BE" w:rsidR="00543BC4" w:rsidRDefault="005303F5" w:rsidP="00897330">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w:t>
      </w:r>
      <w:r>
        <w:rPr>
          <w:rFonts w:ascii="ＭＳ 明朝" w:hAnsi="ＭＳ 明朝" w:hint="eastAsia"/>
          <w:snapToGrid w:val="0"/>
          <w:kern w:val="0"/>
        </w:rPr>
        <w:lastRenderedPageBreak/>
        <w:t>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A2A8E9A" w14:textId="6FA84758" w:rsidR="00A3006E" w:rsidRDefault="005303F5" w:rsidP="00897330">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r w:rsidR="00AE15F9">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41EA6198"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w:t>
      </w:r>
      <w:r w:rsidR="00897330">
        <w:rPr>
          <w:rFonts w:ascii="ＭＳ 明朝" w:hAnsi="ＭＳ 明朝" w:hint="eastAsia"/>
          <w:snapToGrid w:val="0"/>
          <w:kern w:val="0"/>
        </w:rPr>
        <w:t>，</w:t>
      </w:r>
      <w:r>
        <w:rPr>
          <w:rFonts w:ascii="ＭＳ 明朝" w:hAnsi="ＭＳ 明朝" w:hint="eastAsia"/>
          <w:snapToGrid w:val="0"/>
          <w:kern w:val="0"/>
        </w:rPr>
        <w:t>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24DD4664"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w:t>
            </w:r>
            <w:r w:rsidR="00897330">
              <w:rPr>
                <w:rFonts w:ascii="ＭＳ 明朝" w:hAnsi="ＭＳ 明朝" w:hint="eastAsia"/>
                <w:snapToGrid w:val="0"/>
                <w:kern w:val="0"/>
              </w:rPr>
              <w:t>においては，公立小中学校事務職員が，より積極的に職務を遂行してい</w:t>
            </w:r>
            <w:r w:rsidR="00AB1E1C">
              <w:rPr>
                <w:rFonts w:ascii="ＭＳ 明朝" w:hAnsi="ＭＳ 明朝" w:hint="eastAsia"/>
                <w:snapToGrid w:val="0"/>
                <w:kern w:val="0"/>
              </w:rPr>
              <w:t>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lastRenderedPageBreak/>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D367CB">
      <w:pPr>
        <w:autoSpaceDE w:val="0"/>
        <w:autoSpaceDN w:val="0"/>
        <w:adjustRightInd w:val="0"/>
        <w:spacing w:line="200" w:lineRule="exact"/>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5D496C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w:t>
      </w:r>
      <w:r w:rsidR="00AC71A7">
        <w:rPr>
          <w:rFonts w:ascii="ＭＳ 明朝" w:hAnsi="ＭＳ 明朝" w:hint="eastAsia"/>
          <w:snapToGrid w:val="0"/>
          <w:kern w:val="0"/>
        </w:rPr>
        <w:t>，</w:t>
      </w:r>
      <w:r>
        <w:rPr>
          <w:rFonts w:ascii="ＭＳ 明朝" w:hAnsi="ＭＳ 明朝" w:hint="eastAsia"/>
          <w:snapToGrid w:val="0"/>
          <w:kern w:val="0"/>
        </w:rPr>
        <w:t>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38F2EB1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762B3180" w14:textId="77777777" w:rsidR="00727771" w:rsidRDefault="00727771"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51678720" behindDoc="0" locked="0" layoutInCell="1" hidden="0" allowOverlap="1" wp14:anchorId="1AC476D5" wp14:editId="7547EBEC">
                <wp:simplePos x="0" y="0"/>
                <wp:positionH relativeFrom="margin">
                  <wp:posOffset>4968240</wp:posOffset>
                </wp:positionH>
                <wp:positionV relativeFrom="paragraph">
                  <wp:posOffset>10424</wp:posOffset>
                </wp:positionV>
                <wp:extent cx="1151890" cy="469265"/>
                <wp:effectExtent l="0" t="0" r="0" b="0"/>
                <wp:wrapNone/>
                <wp:docPr id="1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9265"/>
                        </a:xfrm>
                        <a:prstGeom prst="rect">
                          <a:avLst/>
                        </a:prstGeom>
                        <a:noFill/>
                        <a:ln>
                          <a:miter/>
                        </a:ln>
                      </wps:spPr>
                      <wps:txbx>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1AC476D5" id="_x0000_s1051" type="#_x0000_t202" style="position:absolute;left:0;text-align:left;margin-left:391.2pt;margin-top:.8pt;width:90.7pt;height:3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" filled="f" stroked="f">
                <v:textbox inset="1mm,0,0,0">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v:textbox>
                <w10:wrap anchorx="margin"/>
              </v:shape>
            </w:pict>
          </mc:Fallback>
        </mc:AlternateContent>
      </w:r>
      <w:r w:rsidR="005303F5">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るものとは，以下の通りである。</w:t>
      </w:r>
    </w:p>
    <w:p w14:paraId="0D81DAD4" w14:textId="72BBB7CD"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①　教材，教具その他の備品の共同購入に関する事務</w:t>
      </w:r>
    </w:p>
    <w:p w14:paraId="509D66AC" w14:textId="1BD8A580"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②　教職員の給与及び旅費の支給に関する事務</w:t>
      </w:r>
    </w:p>
    <w:p w14:paraId="16F9953B" w14:textId="2694DBC7" w:rsidR="00A3006E" w:rsidRDefault="00727771" w:rsidP="00727771">
      <w:pPr>
        <w:tabs>
          <w:tab w:val="right" w:pos="7811"/>
        </w:tabs>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③　</w:t>
      </w:r>
      <w:r w:rsidR="005303F5">
        <w:rPr>
          <w:rFonts w:ascii="ＭＳ 明朝" w:hAnsi="ＭＳ 明朝" w:hint="eastAsia"/>
          <w:snapToGrid w:val="0"/>
          <w:kern w:val="0"/>
        </w:rPr>
        <w:t>その他共同学校事務室において共同処理することが</w:t>
      </w:r>
      <w:r>
        <w:rPr>
          <w:rFonts w:ascii="ＭＳ 明朝" w:hAnsi="ＭＳ 明朝" w:hint="eastAsia"/>
          <w:snapToGrid w:val="0"/>
          <w:kern w:val="0"/>
        </w:rPr>
        <w:t>効果的な処理に資するものとして教育委員会規則で定める事務</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F7E41" w14:textId="77777777" w:rsidR="002B22E7" w:rsidRDefault="002B22E7">
      <w:r>
        <w:separator/>
      </w:r>
    </w:p>
  </w:endnote>
  <w:endnote w:type="continuationSeparator" w:id="0">
    <w:p w14:paraId="07D6A17D" w14:textId="77777777" w:rsidR="002B22E7" w:rsidRDefault="002B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0D1A" w14:textId="5ED776AB"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2EE" w14:textId="45A9D927"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ACA50" w14:textId="77777777" w:rsidR="002B22E7" w:rsidRDefault="002B22E7">
      <w:r>
        <w:separator/>
      </w:r>
    </w:p>
  </w:footnote>
  <w:footnote w:type="continuationSeparator" w:id="0">
    <w:p w14:paraId="11E3BD31" w14:textId="77777777" w:rsidR="002B22E7" w:rsidRDefault="002B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4DF0FE5"/>
    <w:multiLevelType w:val="hybridMultilevel"/>
    <w:tmpl w:val="4F1C6B72"/>
    <w:lvl w:ilvl="0" w:tplc="7026C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BE1B3D"/>
    <w:multiLevelType w:val="hybridMultilevel"/>
    <w:tmpl w:val="B69CF066"/>
    <w:lvl w:ilvl="0" w:tplc="222A3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23AC4"/>
    <w:multiLevelType w:val="hybridMultilevel"/>
    <w:tmpl w:val="246490C8"/>
    <w:lvl w:ilvl="0" w:tplc="D16493F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3F2D95"/>
    <w:multiLevelType w:val="hybridMultilevel"/>
    <w:tmpl w:val="98AA2D9A"/>
    <w:lvl w:ilvl="0" w:tplc="0704A3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6E"/>
    <w:rsid w:val="00003D24"/>
    <w:rsid w:val="00010311"/>
    <w:rsid w:val="00013F57"/>
    <w:rsid w:val="00055ABE"/>
    <w:rsid w:val="00063532"/>
    <w:rsid w:val="00074FF0"/>
    <w:rsid w:val="00086EF3"/>
    <w:rsid w:val="00090A3B"/>
    <w:rsid w:val="00093014"/>
    <w:rsid w:val="000C2ACF"/>
    <w:rsid w:val="000E21EF"/>
    <w:rsid w:val="000F12A8"/>
    <w:rsid w:val="000F56AE"/>
    <w:rsid w:val="000F59E6"/>
    <w:rsid w:val="00113851"/>
    <w:rsid w:val="00142C93"/>
    <w:rsid w:val="0014591E"/>
    <w:rsid w:val="0015095A"/>
    <w:rsid w:val="001711DC"/>
    <w:rsid w:val="00175BB7"/>
    <w:rsid w:val="001C1FCE"/>
    <w:rsid w:val="001D155C"/>
    <w:rsid w:val="001D2DBC"/>
    <w:rsid w:val="001F2981"/>
    <w:rsid w:val="00224321"/>
    <w:rsid w:val="00270C69"/>
    <w:rsid w:val="0027127F"/>
    <w:rsid w:val="00274A61"/>
    <w:rsid w:val="00275DDA"/>
    <w:rsid w:val="0028689A"/>
    <w:rsid w:val="002917FB"/>
    <w:rsid w:val="00292CE1"/>
    <w:rsid w:val="002A5A1F"/>
    <w:rsid w:val="002B22E7"/>
    <w:rsid w:val="002B379A"/>
    <w:rsid w:val="002C79C9"/>
    <w:rsid w:val="002D0503"/>
    <w:rsid w:val="002D4FAC"/>
    <w:rsid w:val="002E4F6F"/>
    <w:rsid w:val="002F10C2"/>
    <w:rsid w:val="002F129D"/>
    <w:rsid w:val="002F7FCF"/>
    <w:rsid w:val="0031192E"/>
    <w:rsid w:val="00327286"/>
    <w:rsid w:val="003420F1"/>
    <w:rsid w:val="00350C04"/>
    <w:rsid w:val="0038434A"/>
    <w:rsid w:val="00386057"/>
    <w:rsid w:val="003D784C"/>
    <w:rsid w:val="003F6225"/>
    <w:rsid w:val="0041518B"/>
    <w:rsid w:val="00430DA2"/>
    <w:rsid w:val="004A7390"/>
    <w:rsid w:val="004B310A"/>
    <w:rsid w:val="004C210A"/>
    <w:rsid w:val="004D690C"/>
    <w:rsid w:val="004E7FAF"/>
    <w:rsid w:val="0050078C"/>
    <w:rsid w:val="00503417"/>
    <w:rsid w:val="00507618"/>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83E03"/>
    <w:rsid w:val="00687B02"/>
    <w:rsid w:val="006911BA"/>
    <w:rsid w:val="006A2F12"/>
    <w:rsid w:val="00704378"/>
    <w:rsid w:val="0070524B"/>
    <w:rsid w:val="00705AC1"/>
    <w:rsid w:val="007219FD"/>
    <w:rsid w:val="00723325"/>
    <w:rsid w:val="00727771"/>
    <w:rsid w:val="007329D9"/>
    <w:rsid w:val="007329E6"/>
    <w:rsid w:val="0074626A"/>
    <w:rsid w:val="007606C8"/>
    <w:rsid w:val="007722BD"/>
    <w:rsid w:val="00797D40"/>
    <w:rsid w:val="007C2C0E"/>
    <w:rsid w:val="007C6BB5"/>
    <w:rsid w:val="00817E89"/>
    <w:rsid w:val="00864BE4"/>
    <w:rsid w:val="00897330"/>
    <w:rsid w:val="008A6CC1"/>
    <w:rsid w:val="008B5DC3"/>
    <w:rsid w:val="008E78D9"/>
    <w:rsid w:val="009209A6"/>
    <w:rsid w:val="00922470"/>
    <w:rsid w:val="0092452F"/>
    <w:rsid w:val="0094218D"/>
    <w:rsid w:val="0094562B"/>
    <w:rsid w:val="00946DE7"/>
    <w:rsid w:val="009726BB"/>
    <w:rsid w:val="00983170"/>
    <w:rsid w:val="009848DB"/>
    <w:rsid w:val="009C7433"/>
    <w:rsid w:val="009D22B0"/>
    <w:rsid w:val="009D6C5B"/>
    <w:rsid w:val="009E7AB9"/>
    <w:rsid w:val="009F6080"/>
    <w:rsid w:val="00A17E28"/>
    <w:rsid w:val="00A3006E"/>
    <w:rsid w:val="00A42275"/>
    <w:rsid w:val="00A447E2"/>
    <w:rsid w:val="00A473C3"/>
    <w:rsid w:val="00AB1E1C"/>
    <w:rsid w:val="00AB77BD"/>
    <w:rsid w:val="00AC71A7"/>
    <w:rsid w:val="00AD076C"/>
    <w:rsid w:val="00AD2AA5"/>
    <w:rsid w:val="00AE10E5"/>
    <w:rsid w:val="00AE15F9"/>
    <w:rsid w:val="00AE1DF7"/>
    <w:rsid w:val="00AE30C4"/>
    <w:rsid w:val="00AF249B"/>
    <w:rsid w:val="00B37093"/>
    <w:rsid w:val="00B443ED"/>
    <w:rsid w:val="00B46546"/>
    <w:rsid w:val="00B50A0D"/>
    <w:rsid w:val="00B81DE1"/>
    <w:rsid w:val="00B85808"/>
    <w:rsid w:val="00B96AF7"/>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2693F"/>
    <w:rsid w:val="00D3286C"/>
    <w:rsid w:val="00D3352C"/>
    <w:rsid w:val="00D34C5C"/>
    <w:rsid w:val="00D367CB"/>
    <w:rsid w:val="00D449E9"/>
    <w:rsid w:val="00D464BD"/>
    <w:rsid w:val="00D568A0"/>
    <w:rsid w:val="00D62BD9"/>
    <w:rsid w:val="00D7614A"/>
    <w:rsid w:val="00DB7D15"/>
    <w:rsid w:val="00DD58C7"/>
    <w:rsid w:val="00DF1637"/>
    <w:rsid w:val="00DF24DB"/>
    <w:rsid w:val="00E17D98"/>
    <w:rsid w:val="00E26113"/>
    <w:rsid w:val="00E62249"/>
    <w:rsid w:val="00E7793C"/>
    <w:rsid w:val="00EA0735"/>
    <w:rsid w:val="00EA46DC"/>
    <w:rsid w:val="00EB0D9F"/>
    <w:rsid w:val="00EB19D3"/>
    <w:rsid w:val="00EC3B8A"/>
    <w:rsid w:val="00EF74D7"/>
    <w:rsid w:val="00F1233A"/>
    <w:rsid w:val="00F17992"/>
    <w:rsid w:val="00F60FE5"/>
    <w:rsid w:val="00F66C25"/>
    <w:rsid w:val="00F71BFA"/>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 w:type="paragraph" w:styleId="af1">
    <w:name w:val="List Paragraph"/>
    <w:basedOn w:val="a"/>
    <w:uiPriority w:val="34"/>
    <w:qFormat/>
    <w:rsid w:val="00687B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3A134-AFFE-4EC7-B908-10DE7DD5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11</Pages>
  <Words>1497</Words>
  <Characters>8537</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七尾中学校 事務</cp:lastModifiedBy>
  <cp:revision>17</cp:revision>
  <cp:lastPrinted>2021-09-16T04:31:00Z</cp:lastPrinted>
  <dcterms:created xsi:type="dcterms:W3CDTF">2023-10-11T00:21:00Z</dcterms:created>
  <dcterms:modified xsi:type="dcterms:W3CDTF">2023-11-30T08:03:00Z</dcterms:modified>
</cp:coreProperties>
</file>