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0" w:leftChars="0" w:right="0" w:rightChars="0" w:firstLine="210" w:firstLineChars="100"/>
        <w:rPr>
          <w:rFonts w:hint="eastAsia"/>
          <w:color w:val="auto"/>
        </w:rPr>
      </w:pPr>
      <w:r>
        <w:rPr>
          <w:rFonts w:hint="eastAsia"/>
          <w:color w:val="auto"/>
        </w:rPr>
        <w:t>ウ　年金払い退職給付</w:t>
      </w:r>
    </w:p>
    <w:p>
      <w:pPr>
        <w:pStyle w:val="0"/>
        <w:ind w:left="840" w:leftChars="300" w:right="0" w:rightChars="0" w:hanging="210" w:hangingChars="100"/>
        <w:rPr>
          <w:rFonts w:hint="eastAsia"/>
          <w:color w:val="auto"/>
        </w:rPr>
      </w:pPr>
      <w:r>
        <w:rPr>
          <w:rFonts w:hint="eastAsia"/>
          <w:color w:val="auto"/>
        </w:rPr>
        <w:t>(</w:t>
      </w:r>
      <w:r>
        <w:rPr>
          <w:rFonts w:hint="eastAsia"/>
          <w:color w:val="auto"/>
        </w:rPr>
        <w:t>ｱ</w:t>
      </w:r>
      <w:r>
        <w:rPr>
          <w:rFonts w:hint="eastAsia"/>
          <w:color w:val="auto"/>
        </w:rPr>
        <w:t xml:space="preserve">) </w:t>
      </w:r>
      <w:r>
        <w:rPr>
          <w:rFonts w:hint="eastAsia"/>
          <w:color w:val="auto"/>
        </w:rPr>
        <w:t>退職年金</w:t>
      </w:r>
    </w:p>
    <w:p>
      <w:pPr>
        <w:pStyle w:val="0"/>
        <w:ind w:left="630" w:leftChars="300" w:right="0" w:rightChars="0" w:firstLine="210" w:firstLineChars="100"/>
        <w:rPr>
          <w:rFonts w:hint="eastAsia"/>
          <w:color w:val="auto"/>
        </w:rPr>
      </w:pPr>
      <w:r>
        <w:rPr>
          <w:rFonts w:hint="eastAsia"/>
          <w:color w:val="auto"/>
        </w:rPr>
        <w:t>退職年金の半分は有期退職年金，半分は終身退職年金として支給されます。有期退職年金の支給期間は</w:t>
      </w:r>
      <w:r>
        <w:rPr>
          <w:rFonts w:hint="eastAsia"/>
          <w:color w:val="auto"/>
        </w:rPr>
        <w:t>20</w:t>
      </w:r>
      <w:r>
        <w:rPr>
          <w:rFonts w:hint="eastAsia"/>
          <w:color w:val="auto"/>
        </w:rPr>
        <w:t>年ですが，</w:t>
      </w:r>
      <w:r>
        <w:rPr>
          <w:rFonts w:hint="eastAsia"/>
          <w:color w:val="auto"/>
        </w:rPr>
        <w:t>10</w:t>
      </w:r>
      <w:r>
        <w:rPr>
          <w:rFonts w:hint="eastAsia"/>
          <w:color w:val="auto"/>
        </w:rPr>
        <w:t>年（または一時金）を請求時に選択できます。組合員である間は，全額支給停止されます。現役時から退職後までを通じた信用失墜行為等に対する支</w:t>
      </w:r>
      <w:bookmarkStart w:id="0" w:name="_GoBack"/>
      <w:bookmarkEnd w:id="0"/>
      <w:r>
        <w:rPr>
          <w:rFonts w:hint="eastAsia"/>
          <w:color w:val="auto"/>
        </w:rPr>
        <w:t>給制限措置があります。亡くなられた場合は，有期退職年金の残余部分が遺族の方に一時金として支給されます。終身退職年金の支給は終了します。</w:t>
      </w:r>
    </w:p>
    <w:p>
      <w:pPr>
        <w:pStyle w:val="0"/>
        <w:ind w:left="630" w:leftChars="300" w:right="0" w:rightChars="0" w:firstLine="210" w:firstLineChars="100"/>
        <w:rPr>
          <w:rFonts w:hint="eastAsia"/>
          <w:color w:val="auto"/>
        </w:rPr>
      </w:pPr>
      <w:r>
        <w:rPr>
          <w:rFonts w:hint="eastAsia"/>
          <w:color w:val="auto"/>
        </w:rPr>
        <w:t>受給条件（すべてを満たす場合のみ）</w:t>
      </w:r>
    </w:p>
    <w:p>
      <w:pPr>
        <w:pStyle w:val="0"/>
        <w:ind w:left="630" w:leftChars="300" w:right="0" w:rightChars="0" w:firstLine="210" w:firstLineChars="100"/>
        <w:rPr>
          <w:rFonts w:hint="eastAsia"/>
          <w:color w:val="auto"/>
        </w:rPr>
      </w:pPr>
      <w:r>
        <w:rPr>
          <w:rFonts w:hint="eastAsia"/>
          <w:color w:val="auto"/>
        </w:rPr>
        <w:t>・</w:t>
      </w:r>
      <w:r>
        <w:rPr>
          <w:rFonts w:hint="eastAsia"/>
          <w:color w:val="auto"/>
        </w:rPr>
        <w:t>65</w:t>
      </w:r>
      <w:r>
        <w:rPr>
          <w:rFonts w:hint="eastAsia"/>
          <w:color w:val="auto"/>
        </w:rPr>
        <w:t>歳に達していること</w:t>
      </w:r>
    </w:p>
    <w:p>
      <w:pPr>
        <w:pStyle w:val="0"/>
        <w:ind w:left="630" w:leftChars="300" w:right="0" w:rightChars="0" w:firstLine="210" w:firstLineChars="100"/>
        <w:rPr>
          <w:rFonts w:hint="eastAsia"/>
          <w:color w:val="auto"/>
        </w:rPr>
      </w:pPr>
      <w:r>
        <w:rPr>
          <w:rFonts w:hint="eastAsia"/>
          <w:color w:val="auto"/>
        </w:rPr>
        <w:t>・退職していること</w:t>
      </w:r>
    </w:p>
    <w:p>
      <w:pPr>
        <w:pStyle w:val="0"/>
        <w:ind w:left="630" w:leftChars="300" w:right="0" w:rightChars="0" w:firstLine="210" w:firstLineChars="100"/>
        <w:rPr>
          <w:rFonts w:hint="eastAsia"/>
          <w:color w:val="auto"/>
        </w:rPr>
      </w:pPr>
      <w:r>
        <w:rPr>
          <w:rFonts w:hint="eastAsia"/>
          <w:color w:val="auto"/>
        </w:rPr>
        <w:t>・平成</w:t>
      </w:r>
      <w:r>
        <w:rPr>
          <w:rFonts w:hint="eastAsia"/>
          <w:color w:val="auto"/>
        </w:rPr>
        <w:t>27</w:t>
      </w:r>
      <w:r>
        <w:rPr>
          <w:rFonts w:hint="eastAsia"/>
          <w:color w:val="auto"/>
        </w:rPr>
        <w:t>年</w:t>
      </w:r>
      <w:r>
        <w:rPr>
          <w:rFonts w:hint="eastAsia"/>
          <w:color w:val="auto"/>
        </w:rPr>
        <w:t>10</w:t>
      </w:r>
      <w:r>
        <w:rPr>
          <w:rFonts w:hint="eastAsia"/>
          <w:color w:val="auto"/>
        </w:rPr>
        <w:t>月以後の１年以上引き続く組合員期間を有していること</w:t>
      </w:r>
    </w:p>
    <w:p>
      <w:pPr>
        <w:pStyle w:val="0"/>
        <w:ind w:left="840" w:leftChars="300" w:right="0" w:rightChars="0" w:hanging="210" w:hangingChars="100"/>
        <w:rPr>
          <w:rFonts w:hint="eastAsia"/>
          <w:color w:val="auto"/>
        </w:rPr>
      </w:pPr>
      <w:r>
        <w:rPr>
          <w:rFonts w:hint="eastAsia"/>
          <w:color w:val="auto"/>
        </w:rPr>
        <w:t>(</w:t>
      </w:r>
      <w:r>
        <w:rPr>
          <w:rFonts w:hint="eastAsia"/>
          <w:color w:val="auto"/>
        </w:rPr>
        <w:t>ｲ</w:t>
      </w:r>
      <w:r>
        <w:rPr>
          <w:rFonts w:hint="eastAsia"/>
          <w:color w:val="auto"/>
        </w:rPr>
        <w:t xml:space="preserve">) </w:t>
      </w:r>
      <w:r>
        <w:rPr>
          <w:rFonts w:hint="eastAsia"/>
          <w:color w:val="auto"/>
        </w:rPr>
        <w:t>公務障害年金</w:t>
      </w:r>
    </w:p>
    <w:p>
      <w:pPr>
        <w:pStyle w:val="0"/>
        <w:ind w:left="630" w:leftChars="300" w:right="0" w:rightChars="0" w:firstLine="210" w:firstLineChars="100"/>
        <w:rPr>
          <w:rFonts w:hint="eastAsia"/>
          <w:color w:val="auto"/>
        </w:rPr>
      </w:pPr>
      <w:r>
        <w:rPr>
          <w:rFonts w:hint="eastAsia"/>
          <w:color w:val="auto"/>
        </w:rPr>
        <w:t>全額終身年金として支給。組合員である間は全額支給停止されます。</w:t>
      </w:r>
    </w:p>
    <w:p>
      <w:pPr>
        <w:pStyle w:val="0"/>
        <w:ind w:left="630" w:leftChars="300" w:right="0" w:rightChars="0" w:firstLine="210" w:firstLineChars="100"/>
        <w:rPr>
          <w:rFonts w:hint="eastAsia"/>
          <w:color w:val="auto"/>
        </w:rPr>
      </w:pPr>
      <w:r>
        <w:rPr>
          <w:rFonts w:hint="eastAsia"/>
          <w:color w:val="auto"/>
        </w:rPr>
        <w:t>障害の程度が変わった場合は，年金額が改訂されます。現役時から退職後までを通じた信用失墜行為当に対する支給制限措置があります。</w:t>
      </w:r>
    </w:p>
    <w:p>
      <w:pPr>
        <w:pStyle w:val="0"/>
        <w:ind w:left="630" w:leftChars="300" w:right="0" w:rightChars="0" w:firstLine="210" w:firstLineChars="100"/>
        <w:rPr>
          <w:rFonts w:hint="eastAsia"/>
          <w:color w:val="auto"/>
        </w:rPr>
      </w:pPr>
      <w:r>
        <w:rPr>
          <w:rFonts w:hint="eastAsia"/>
          <w:color w:val="auto"/>
        </w:rPr>
        <w:t>受給条件（すべてを満たす場合のみ）</w:t>
      </w:r>
    </w:p>
    <w:p>
      <w:pPr>
        <w:pStyle w:val="0"/>
        <w:ind w:left="630" w:leftChars="300" w:right="0" w:rightChars="0" w:firstLine="210" w:firstLineChars="100"/>
        <w:rPr>
          <w:rFonts w:hint="eastAsia"/>
          <w:color w:val="auto"/>
        </w:rPr>
      </w:pPr>
      <w:r>
        <w:rPr>
          <w:rFonts w:hint="eastAsia"/>
          <w:color w:val="auto"/>
        </w:rPr>
        <w:t>・公務による傷病により傷害状態となったこと</w:t>
      </w:r>
    </w:p>
    <w:p>
      <w:pPr>
        <w:pStyle w:val="0"/>
        <w:ind w:left="630" w:leftChars="300" w:right="0" w:rightChars="0" w:firstLine="210" w:firstLineChars="100"/>
        <w:rPr>
          <w:rFonts w:hint="eastAsia"/>
          <w:color w:val="auto"/>
        </w:rPr>
      </w:pPr>
      <w:r>
        <w:rPr>
          <w:rFonts w:hint="eastAsia"/>
          <w:color w:val="auto"/>
        </w:rPr>
        <w:t>・公務による傷病の初診日において組合員であること</w:t>
      </w:r>
    </w:p>
    <w:p>
      <w:pPr>
        <w:pStyle w:val="0"/>
        <w:ind w:left="630" w:leftChars="300" w:right="0" w:rightChars="0" w:firstLine="210" w:firstLineChars="100"/>
        <w:rPr>
          <w:rFonts w:hint="eastAsia"/>
          <w:color w:val="auto"/>
        </w:rPr>
      </w:pPr>
      <w:r>
        <w:rPr>
          <w:rFonts w:hint="eastAsia"/>
          <w:color w:val="auto"/>
        </w:rPr>
        <w:t>・傷害認定日において，その公務による傷病により，障害等級１級～３級に該当する障害状態であること</w:t>
      </w:r>
    </w:p>
    <w:p>
      <w:pPr>
        <w:pStyle w:val="0"/>
        <w:ind w:left="840" w:leftChars="300" w:right="0" w:rightChars="0" w:hanging="210" w:hangingChars="100"/>
        <w:rPr>
          <w:rFonts w:hint="eastAsia"/>
          <w:color w:val="auto"/>
        </w:rPr>
      </w:pPr>
      <w:r>
        <w:rPr>
          <w:rFonts w:hint="eastAsia"/>
          <w:color w:val="auto"/>
        </w:rPr>
        <w:t>(</w:t>
      </w:r>
      <w:r>
        <w:rPr>
          <w:rFonts w:hint="eastAsia"/>
          <w:color w:val="auto"/>
        </w:rPr>
        <w:t>ｳ</w:t>
      </w:r>
      <w:r>
        <w:rPr>
          <w:rFonts w:hint="eastAsia"/>
          <w:color w:val="auto"/>
        </w:rPr>
        <w:t xml:space="preserve">) </w:t>
      </w:r>
      <w:r>
        <w:rPr>
          <w:rFonts w:hint="eastAsia"/>
          <w:color w:val="auto"/>
        </w:rPr>
        <w:t>公務遺族年金</w:t>
      </w:r>
    </w:p>
    <w:p>
      <w:pPr>
        <w:pStyle w:val="0"/>
        <w:ind w:left="630" w:leftChars="300" w:right="0" w:rightChars="0" w:firstLine="210" w:firstLineChars="100"/>
        <w:rPr>
          <w:rFonts w:hint="eastAsia"/>
          <w:color w:val="auto"/>
        </w:rPr>
      </w:pPr>
      <w:r>
        <w:rPr>
          <w:rFonts w:hint="eastAsia"/>
          <w:color w:val="auto"/>
        </w:rPr>
        <w:t>全額終身年金として支給されます。受給権者が禁錮以上の刑に処せられたときの支給制限措置があります。</w:t>
      </w:r>
    </w:p>
    <w:p>
      <w:pPr>
        <w:pStyle w:val="0"/>
        <w:ind w:left="630" w:leftChars="300" w:right="0" w:rightChars="0" w:firstLine="210" w:firstLineChars="100"/>
        <w:rPr>
          <w:rFonts w:hint="eastAsia"/>
          <w:color w:val="auto"/>
        </w:rPr>
      </w:pPr>
      <w:r>
        <w:rPr>
          <w:rFonts w:hint="eastAsia"/>
          <w:color w:val="auto"/>
        </w:rPr>
        <w:t>受給条件（いずれかに該当した場合）</w:t>
      </w:r>
    </w:p>
    <w:p>
      <w:pPr>
        <w:pStyle w:val="0"/>
        <w:ind w:left="630" w:leftChars="300" w:right="0" w:rightChars="0" w:firstLine="210" w:firstLineChars="100"/>
        <w:rPr>
          <w:rFonts w:hint="eastAsia"/>
          <w:color w:val="auto"/>
        </w:rPr>
      </w:pPr>
      <w:r>
        <w:rPr>
          <w:rFonts w:hint="eastAsia"/>
          <w:color w:val="auto"/>
        </w:rPr>
        <w:t>・組合員が公務による傷病により亡くなられたとき</w:t>
      </w:r>
    </w:p>
    <w:p>
      <w:pPr>
        <w:pStyle w:val="0"/>
        <w:ind w:left="630" w:leftChars="300" w:right="0" w:rightChars="0" w:firstLine="210" w:firstLineChars="100"/>
        <w:rPr>
          <w:rFonts w:hint="eastAsia"/>
          <w:color w:val="auto"/>
        </w:rPr>
      </w:pPr>
      <w:r>
        <w:rPr>
          <w:rFonts w:hint="eastAsia"/>
          <w:color w:val="auto"/>
        </w:rPr>
        <w:t>・退職後，組合員であった者が，組合員期間中に初診日がある公務による傷病により初診日から</w:t>
      </w:r>
      <w:r>
        <w:rPr>
          <w:rFonts w:hint="eastAsia"/>
          <w:color w:val="auto"/>
        </w:rPr>
        <w:t>5</w:t>
      </w:r>
      <w:r>
        <w:rPr>
          <w:rFonts w:hint="eastAsia"/>
          <w:color w:val="auto"/>
        </w:rPr>
        <w:t>年以内に亡くなられたとき</w:t>
      </w:r>
    </w:p>
    <w:p>
      <w:pPr>
        <w:pStyle w:val="0"/>
        <w:ind w:left="630" w:leftChars="300" w:right="0" w:rightChars="0" w:firstLine="210" w:firstLineChars="100"/>
        <w:rPr>
          <w:rFonts w:hint="eastAsia"/>
          <w:color w:val="auto"/>
        </w:rPr>
      </w:pPr>
      <w:r>
        <w:rPr>
          <w:rFonts w:hint="eastAsia"/>
          <w:color w:val="auto"/>
        </w:rPr>
        <w:t>・障害等級１級または２級の公務障害年金の受給権者が，その原因となった公務による傷病により亡くなられたとき</w:t>
      </w:r>
    </w:p>
    <w:p>
      <w:pPr>
        <w:pStyle w:val="0"/>
        <w:ind w:left="630" w:leftChars="300" w:right="0" w:rightChars="0" w:firstLine="210" w:firstLineChars="100"/>
        <w:rPr>
          <w:rFonts w:hint="eastAsia"/>
          <w:color w:val="auto"/>
        </w:rPr>
      </w:pPr>
    </w:p>
    <w:p>
      <w:pPr>
        <w:pStyle w:val="0"/>
        <w:ind w:left="630" w:leftChars="300" w:right="0" w:rightChars="0" w:firstLine="210" w:firstLineChars="100"/>
        <w:rPr>
          <w:rFonts w:hint="eastAsia"/>
          <w:color w:val="auto"/>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 w:name="ＭＳ Ｐゴシック">
    <w:panose1 w:val="000008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2">
    <w:name w:val="heading 2"/>
    <w:basedOn w:val="0"/>
    <w:next w:val="0"/>
    <w:link w:val="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240" w:beforeLines="0" w:beforeAutospacing="0" w:after="60" w:afterLines="0" w:afterAutospacing="0" w:line="240" w:lineRule="auto"/>
      <w:ind w:leftChars="0" w:rightChars="0" w:firstLineChars="0"/>
      <w:contextualSpacing w:val="0"/>
      <w:mirrorIndents w:val="0"/>
      <w:jc w:val="both"/>
      <w:outlineLvl w:val="1"/>
      <w15:collapsed w:val="0"/>
    </w:pPr>
    <w:rPr>
      <w:rFonts w:ascii="Times New Roman" w:hAnsi="Times New Roman" w:eastAsia="Times New Roman"/>
      <w:b w:val="1"/>
      <w:i w:val="0"/>
      <w:caps w:val="0"/>
      <w:smallCaps w:val="0"/>
      <w:strike w:val="0"/>
      <w:dstrike w:val="0"/>
      <w:outline w:val="0"/>
      <w:shadow w:val="0"/>
      <w:emboss w:val="0"/>
      <w:imprint w:val="0"/>
      <w:snapToGrid w:val="1"/>
      <w:vanish w:val="0"/>
      <w:color w:val="auto"/>
      <w:w w:val="100"/>
      <w:sz w:val="36"/>
      <w:highlight w:val="none"/>
      <w:u w:val="none" w:color="auto"/>
      <w:bdr w:val="none" w:color="auto" w:sz="0" w:space="0"/>
      <w:shd w:val="clear" w:color="auto" w:fill="auto"/>
      <w:vertAlign w:val="baseline"/>
      <w:em w:val="none"/>
    </w:rPr>
  </w:style>
  <w:style w:type="paragraph" w:styleId="3">
    <w:name w:val="heading 3"/>
    <w:basedOn w:val="0"/>
    <w:next w:val="0"/>
    <w:link w:val="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240" w:beforeLines="0" w:beforeAutospacing="0" w:after="60" w:afterLines="0" w:afterAutospacing="0" w:line="240" w:lineRule="auto"/>
      <w:ind w:leftChars="0" w:rightChars="0" w:firstLineChars="0"/>
      <w:contextualSpacing w:val="0"/>
      <w:mirrorIndents w:val="0"/>
      <w:jc w:val="both"/>
      <w:outlineLvl w:val="2"/>
      <w15:collapsed w:val="0"/>
    </w:pPr>
    <w:rPr>
      <w:rFonts w:ascii="Times New Roman" w:hAnsi="Times New Roman" w:eastAsia="Times New Roman"/>
      <w:b w:val="1"/>
      <w:i w:val="0"/>
      <w:caps w:val="0"/>
      <w:smallCaps w:val="0"/>
      <w:strike w:val="0"/>
      <w:dstrike w:val="0"/>
      <w:outline w:val="0"/>
      <w:shadow w:val="0"/>
      <w:emboss w:val="0"/>
      <w:imprint w:val="0"/>
      <w:snapToGrid w:val="1"/>
      <w:vanish w:val="0"/>
      <w:color w:val="auto"/>
      <w:w w:val="100"/>
      <w:sz w:val="28"/>
      <w:highlight w:val="none"/>
      <w:u w:val="none" w:color="auto"/>
      <w:bdr w:val="none" w:color="auto" w:sz="0" w:space="0"/>
      <w:shd w:val="clear" w:color="auto" w:fill="auto"/>
      <w:vertAlign w:val="baseline"/>
      <w:em w:val="none"/>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230</TotalTime>
  <Pages>1</Pages>
  <Words>0</Words>
  <Characters>0</Characters>
  <Application>JUST Note</Application>
  <Lines>0</Lines>
  <Paragraphs>0</Paragraphs>
  <Company>能美市教育員会</Company>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2024-10-04T04:07:00Z</dcterms:created>
  <dcterms:modified xsi:type="dcterms:W3CDTF">2024-10-04T07:57:58Z</dcterms:modified>
  <cp:revision>1</cp:revision>
</cp:coreProperties>
</file>