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540" w:lineRule="exact"/>
        <w:jc w:val="center"/>
        <w:rPr>
          <w:rFonts w:hint="default"/>
        </w:rPr>
      </w:pPr>
      <w:r>
        <w:rPr>
          <w:rFonts w:hint="eastAsia" w:ascii="ＭＳ ゴシック" w:hAnsi="ＭＳ ゴシック" w:eastAsia="ＭＳ ゴシック"/>
          <w:sz w:val="40"/>
        </w:rPr>
        <w:t>学校事務関連用語の解説</w:t>
      </w:r>
    </w:p>
    <w:p>
      <w:pPr>
        <w:pStyle w:val="0"/>
        <w:rPr>
          <w:rFonts w:hint="default"/>
        </w:rPr>
      </w:pPr>
    </w:p>
    <w:p>
      <w:pPr>
        <w:pStyle w:val="0"/>
        <w:rPr>
          <w:rFonts w:hint="default"/>
        </w:rPr>
      </w:pPr>
      <w:r>
        <w:rPr>
          <w:rFonts w:hint="eastAsia" w:ascii="ＭＳ ゴシック" w:hAnsi="ＭＳ ゴシック" w:eastAsia="ＭＳ ゴシック"/>
        </w:rPr>
        <w:t>＜ア行＞</w:t>
      </w:r>
    </w:p>
    <w:p>
      <w:pPr>
        <w:pStyle w:val="0"/>
        <w:rPr>
          <w:rFonts w:hint="default"/>
        </w:rPr>
      </w:pPr>
      <w:r>
        <w:rPr>
          <w:rFonts w:hint="eastAsia" w:ascii="ＭＳ ゴシック" w:hAnsi="ＭＳ ゴシック" w:eastAsia="ＭＳ ゴシック"/>
        </w:rPr>
        <w:t>アカウンタビリティ（</w:t>
      </w:r>
      <w:r>
        <w:rPr>
          <w:rFonts w:hint="eastAsia" w:ascii="ＭＳ ゴシック" w:hAnsi="ＭＳ ゴシック" w:eastAsia="ＭＳ ゴシック"/>
        </w:rPr>
        <w:t>Accountability</w:t>
      </w:r>
      <w:r>
        <w:rPr>
          <w:rFonts w:hint="eastAsia" w:ascii="ＭＳ ゴシック" w:hAnsi="ＭＳ ゴシック" w:eastAsia="ＭＳ ゴシック"/>
        </w:rPr>
        <w:t>）</w:t>
      </w:r>
    </w:p>
    <w:p>
      <w:pPr>
        <w:pStyle w:val="0"/>
        <w:ind w:left="429"/>
        <w:rPr>
          <w:rFonts w:hint="default"/>
        </w:rPr>
      </w:pPr>
      <w:r>
        <w:rPr>
          <w:rFonts w:hint="eastAsia"/>
        </w:rPr>
        <w:t>　説明責任という言葉は，一般にアカウンタビリティの翻訳語として用いられている。ある業務の委託を受けたものが，委託者にその業務の経過と結果を報告し，それによって委託者より対価の支払いを受けたり，ペナルティを受けたりする場合，その説明責務が存在する状態をアカウンタビリティという。したがってアカウンタビリティを単純に「説明をする責任」ととらえるのは間違いと考えられる。</w:t>
      </w:r>
    </w:p>
    <w:p>
      <w:pPr>
        <w:pStyle w:val="0"/>
        <w:rPr>
          <w:rFonts w:hint="default"/>
        </w:rPr>
      </w:pPr>
    </w:p>
    <w:p>
      <w:pPr>
        <w:pStyle w:val="0"/>
        <w:rPr>
          <w:rFonts w:hint="default"/>
        </w:rPr>
      </w:pPr>
      <w:r>
        <w:rPr>
          <w:rFonts w:hint="eastAsia" w:ascii="ＭＳ ゴシック" w:hAnsi="ＭＳ ゴシック" w:eastAsia="ＭＳ ゴシック"/>
        </w:rPr>
        <w:t>ＮＧＯ（</w:t>
      </w:r>
      <w:r>
        <w:rPr>
          <w:rFonts w:hint="eastAsia" w:ascii="ＭＳ ゴシック" w:hAnsi="ＭＳ ゴシック" w:eastAsia="ＭＳ ゴシック"/>
        </w:rPr>
        <w:t>Non-Governmental</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Organizations</w:t>
      </w:r>
      <w:r>
        <w:rPr>
          <w:rFonts w:hint="eastAsia" w:ascii="ＭＳ ゴシック" w:hAnsi="ＭＳ ゴシック" w:eastAsia="ＭＳ ゴシック"/>
        </w:rPr>
        <w:t>　非政府組織）</w:t>
      </w:r>
    </w:p>
    <w:p>
      <w:pPr>
        <w:pStyle w:val="0"/>
        <w:ind w:left="429"/>
        <w:rPr>
          <w:rFonts w:hint="default"/>
        </w:rPr>
      </w:pPr>
      <w:r>
        <w:rPr>
          <w:rFonts w:hint="eastAsia"/>
        </w:rPr>
        <w:t>　ＮＧＯは，民間人や民間団体のつくる機構・組織であり，国内・国際の両方がある。日本では，ＮＧＯという言葉が，国際的なものとして使われており，「国際協力に携わる組織」や「政府を補完する側面」というような場合に使用される。</w:t>
      </w:r>
    </w:p>
    <w:p>
      <w:pPr>
        <w:pStyle w:val="0"/>
        <w:rPr>
          <w:rFonts w:hint="default"/>
        </w:rPr>
      </w:pPr>
    </w:p>
    <w:p>
      <w:pPr>
        <w:pStyle w:val="0"/>
        <w:rPr>
          <w:rFonts w:hint="default"/>
        </w:rPr>
      </w:pPr>
      <w:r>
        <w:rPr>
          <w:rFonts w:hint="eastAsia" w:ascii="ＭＳ ゴシック" w:hAnsi="ＭＳ ゴシック" w:eastAsia="ＭＳ ゴシック"/>
        </w:rPr>
        <w:t>ＮＰＯ</w:t>
      </w:r>
      <w:r>
        <w:rPr>
          <w:rFonts w:hint="eastAsia" w:ascii="ＭＳ ゴシック" w:hAnsi="ＭＳ ゴシック" w:eastAsia="ＭＳ ゴシック"/>
        </w:rPr>
        <w:t>(Non</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Profit</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Organization</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非営利団体組織）</w:t>
      </w:r>
    </w:p>
    <w:p>
      <w:pPr>
        <w:pStyle w:val="0"/>
        <w:ind w:left="429"/>
        <w:rPr>
          <w:rFonts w:hint="default"/>
        </w:rPr>
      </w:pPr>
      <w:r>
        <w:rPr>
          <w:rFonts w:hint="eastAsia"/>
        </w:rPr>
        <w:t>　営利を目的としない民間団体の総称として使われる。企業などの営利組織は基本的に収益を株主などの関係者間で分配するが，ＮＰＯは収益が出れば分配せず，次の社会貢献活動に充当する。（財団法人，社会福祉法人，生協なども含まれる）</w:t>
      </w:r>
    </w:p>
    <w:p>
      <w:pPr>
        <w:pStyle w:val="0"/>
        <w:rPr>
          <w:rFonts w:hint="default"/>
        </w:rPr>
      </w:pPr>
    </w:p>
    <w:p>
      <w:pPr>
        <w:pStyle w:val="0"/>
        <w:spacing w:line="360" w:lineRule="exact"/>
        <w:rPr>
          <w:rFonts w:hint="default"/>
          <w:sz w:val="20"/>
        </w:rPr>
      </w:pPr>
      <w:r>
        <w:rPr>
          <w:rFonts w:hint="eastAsia" w:ascii="ＭＳ ゴシック" w:hAnsi="ＭＳ ゴシック" w:eastAsia="ＭＳ ゴシック"/>
        </w:rPr>
        <w:t>応当日</w:t>
      </w:r>
    </w:p>
    <w:p>
      <w:pPr>
        <w:pStyle w:val="0"/>
        <w:ind w:left="429"/>
        <w:rPr>
          <w:rFonts w:hint="default"/>
        </w:rPr>
      </w:pPr>
      <w:r>
        <w:rPr>
          <w:rFonts w:hint="eastAsia"/>
        </w:rPr>
        <w:t>　発効日や年金開始などの各年の同月日（年応当日）あるいは各月の同日（月応当日）をいう。</w:t>
      </w:r>
    </w:p>
    <w:p>
      <w:pPr>
        <w:pStyle w:val="0"/>
        <w:ind w:left="429"/>
        <w:rPr>
          <w:rFonts w:hint="default"/>
        </w:rPr>
      </w:pPr>
      <w:r>
        <w:rPr>
          <w:rFonts w:hint="eastAsia"/>
        </w:rPr>
        <w:t>勤務期間等算出するときの</w:t>
      </w:r>
      <w:r>
        <w:rPr>
          <w:rFonts w:hint="eastAsia"/>
          <w:color w:val="000000" w:themeColor="text1"/>
        </w:rPr>
        <w:t>１か月</w:t>
      </w:r>
      <w:r>
        <w:rPr>
          <w:rFonts w:hint="eastAsia"/>
        </w:rPr>
        <w:t>の押さえの日</w:t>
      </w:r>
    </w:p>
    <w:p>
      <w:pPr>
        <w:pStyle w:val="0"/>
        <w:ind w:left="429"/>
        <w:rPr>
          <w:rFonts w:hint="default"/>
        </w:rPr>
      </w:pPr>
      <w:r>
        <w:rPr>
          <w:rFonts w:hint="eastAsia"/>
        </w:rPr>
        <w:t>　</w:t>
      </w:r>
      <w:r>
        <w:rPr>
          <w:rFonts w:hint="eastAsia"/>
        </w:rPr>
        <w:t>(</w:t>
      </w:r>
      <w:r>
        <w:rPr>
          <w:rFonts w:hint="eastAsia"/>
        </w:rPr>
        <w:t>例</w:t>
      </w:r>
      <w:r>
        <w:rPr>
          <w:rFonts w:hint="eastAsia"/>
        </w:rPr>
        <w:t>)</w:t>
      </w:r>
      <w:r>
        <w:rPr>
          <w:rFonts w:hint="eastAsia"/>
        </w:rPr>
        <w:t>　９月２日～</w:t>
      </w:r>
      <w:r>
        <w:rPr>
          <w:rFonts w:hint="eastAsia"/>
        </w:rPr>
        <w:t>10</w:t>
      </w:r>
      <w:r>
        <w:rPr>
          <w:rFonts w:hint="eastAsia"/>
        </w:rPr>
        <w:t>月</w:t>
      </w:r>
      <w:r>
        <w:rPr>
          <w:rFonts w:hint="eastAsia"/>
        </w:rPr>
        <w:t>31</w:t>
      </w:r>
      <w:r>
        <w:rPr>
          <w:rFonts w:hint="eastAsia"/>
        </w:rPr>
        <w:t>日の勤務期間を算出してみると</w:t>
      </w:r>
    </w:p>
    <w:p>
      <w:pPr>
        <w:pStyle w:val="0"/>
        <w:ind w:left="429"/>
        <w:rPr>
          <w:rFonts w:hint="default"/>
          <w:color w:val="FF0000"/>
        </w:rPr>
      </w:pPr>
      <w:r>
        <w:rPr>
          <w:rFonts w:hint="eastAsia"/>
        </w:rPr>
        <w:t>　　　　９月２日～</w:t>
      </w:r>
      <w:r>
        <w:rPr>
          <w:rFonts w:hint="eastAsia"/>
        </w:rPr>
        <w:t>10</w:t>
      </w:r>
      <w:r>
        <w:rPr>
          <w:rFonts w:hint="eastAsia"/>
        </w:rPr>
        <w:t>月１日・・・・・・・・・</w:t>
      </w:r>
      <w:r>
        <w:rPr>
          <w:rFonts w:hint="eastAsia"/>
          <w:color w:val="000000" w:themeColor="text1"/>
        </w:rPr>
        <w:t>１か月</w:t>
      </w:r>
    </w:p>
    <w:p>
      <w:pPr>
        <w:pStyle w:val="0"/>
        <w:ind w:left="429"/>
        <w:rPr>
          <w:rFonts w:hint="default"/>
        </w:rPr>
      </w:pPr>
      <w:r>
        <w:rPr>
          <w:rFonts w:hint="eastAsia"/>
        </w:rPr>
        <w:t>　　　　</w:t>
      </w:r>
      <w:r>
        <w:rPr>
          <w:rFonts w:hint="eastAsia"/>
        </w:rPr>
        <w:t>10</w:t>
      </w:r>
      <w:r>
        <w:rPr>
          <w:rFonts w:hint="eastAsia"/>
        </w:rPr>
        <w:t>月２日（応当日）～</w:t>
      </w:r>
      <w:r>
        <w:rPr>
          <w:rFonts w:hint="eastAsia"/>
        </w:rPr>
        <w:t>10</w:t>
      </w:r>
      <w:r>
        <w:rPr>
          <w:rFonts w:hint="eastAsia"/>
        </w:rPr>
        <w:t>月</w:t>
      </w:r>
      <w:r>
        <w:rPr>
          <w:rFonts w:hint="eastAsia"/>
        </w:rPr>
        <w:t>31</w:t>
      </w:r>
      <w:r>
        <w:rPr>
          <w:rFonts w:hint="eastAsia"/>
        </w:rPr>
        <w:t>日・・・・</w:t>
      </w:r>
      <w:r>
        <w:rPr>
          <w:rFonts w:hint="eastAsia"/>
        </w:rPr>
        <w:t>30</w:t>
      </w:r>
      <w:r>
        <w:rPr>
          <w:rFonts w:hint="eastAsia"/>
        </w:rPr>
        <w:t>日　　　合計　</w:t>
      </w:r>
      <w:r>
        <w:rPr>
          <w:rFonts w:hint="eastAsia"/>
          <w:color w:val="000000" w:themeColor="text1"/>
        </w:rPr>
        <w:t>１か月</w:t>
      </w:r>
      <w:r>
        <w:rPr>
          <w:rFonts w:hint="eastAsia"/>
        </w:rPr>
        <w:t>と</w:t>
      </w:r>
      <w:r>
        <w:rPr>
          <w:rFonts w:hint="eastAsia"/>
        </w:rPr>
        <w:t>30</w:t>
      </w:r>
      <w:r>
        <w:rPr>
          <w:rFonts w:hint="eastAsia"/>
        </w:rPr>
        <w:t>日となる。</w:t>
      </w:r>
    </w:p>
    <w:p>
      <w:pPr>
        <w:pStyle w:val="0"/>
        <w:ind w:left="429"/>
        <w:rPr>
          <w:rFonts w:hint="default"/>
        </w:rPr>
      </w:pPr>
    </w:p>
    <w:p>
      <w:pPr>
        <w:pStyle w:val="0"/>
        <w:rPr>
          <w:rFonts w:hint="default"/>
        </w:rPr>
      </w:pPr>
      <w:r>
        <w:rPr>
          <w:rFonts w:hint="eastAsia" w:ascii="ＭＳ ゴシック" w:hAnsi="ＭＳ ゴシック" w:eastAsia="ＭＳ ゴシック"/>
        </w:rPr>
        <w:t>「及び」と「並びに」</w:t>
      </w:r>
    </w:p>
    <w:p>
      <w:pPr>
        <w:pStyle w:val="0"/>
        <w:ind w:left="429"/>
        <w:rPr>
          <w:rFonts w:hint="default"/>
        </w:rPr>
      </w:pPr>
      <w:r>
        <w:rPr>
          <w:rFonts w:hint="eastAsia"/>
        </w:rPr>
        <w:t>　この二つの言葉は，本来の意味としては差はないが，法令用語としては，「又は」と「若しくは」の場合同様，厳格に区別して用いられる。すなわち，ふつうの場合は，「大使及び公使」，「憲法改正，法律，法令及び条約」などと「及び」を使うが，接続の段階が２段になる場合は，小さい接続には「及び」を，大きい接続には「並びに」を用いることになっている。</w:t>
      </w:r>
    </w:p>
    <w:p>
      <w:pPr>
        <w:pStyle w:val="0"/>
        <w:ind w:left="429"/>
        <w:rPr>
          <w:rFonts w:hint="default"/>
        </w:rPr>
      </w:pPr>
      <w:r>
        <w:rPr>
          <w:rFonts w:hint="eastAsia"/>
        </w:rPr>
        <w:t>　例えば，「国及び地方公共団体の公務員並びに公共企業体の役員及び職員」というようになる。</w:t>
      </w:r>
    </w:p>
    <w:p>
      <w:pPr>
        <w:pStyle w:val="0"/>
        <w:ind w:left="429"/>
        <w:rPr>
          <w:rFonts w:hint="default"/>
        </w:rPr>
      </w:pPr>
      <w:r>
        <w:rPr>
          <w:rFonts w:hint="eastAsia"/>
        </w:rPr>
        <w:t>　接続の段階が３つ以上になる場合は，一番小さい接続だけに「及び」を用い，それより大きい接続は，いくつあっても「並びに」を使うのが，現在のやり方である。</w:t>
      </w:r>
    </w:p>
    <w:p>
      <w:pPr>
        <w:pStyle w:val="0"/>
        <w:rPr>
          <w:rFonts w:hint="default"/>
        </w:rPr>
      </w:pPr>
    </w:p>
    <w:p>
      <w:pPr>
        <w:pStyle w:val="0"/>
        <w:rPr>
          <w:rFonts w:hint="default"/>
        </w:rPr>
      </w:pPr>
      <w:r>
        <w:rPr>
          <w:rFonts w:hint="eastAsia" w:ascii="ＭＳ ゴシック" w:hAnsi="ＭＳ ゴシック" w:eastAsia="ＭＳ ゴシック"/>
        </w:rPr>
        <w:t>＜カ行＞</w:t>
      </w:r>
    </w:p>
    <w:p>
      <w:pPr>
        <w:pStyle w:val="0"/>
        <w:rPr>
          <w:rFonts w:hint="default"/>
        </w:rPr>
      </w:pPr>
      <w:r>
        <w:rPr>
          <w:rFonts w:hint="eastAsia" w:ascii="ＭＳ ゴシック" w:hAnsi="ＭＳ ゴシック" w:eastAsia="ＭＳ ゴシック"/>
        </w:rPr>
        <w:t>回議（かいぎ）</w:t>
      </w:r>
    </w:p>
    <w:p>
      <w:pPr>
        <w:pStyle w:val="0"/>
        <w:ind w:left="429"/>
        <w:rPr>
          <w:rFonts w:hint="default"/>
        </w:rPr>
      </w:pPr>
      <w:r>
        <w:rPr>
          <w:rFonts w:hint="eastAsia"/>
        </w:rPr>
        <w:t>　承認を求めるため，起案書を回覧すること。</w:t>
      </w:r>
    </w:p>
    <w:p>
      <w:pPr>
        <w:pStyle w:val="0"/>
        <w:rPr>
          <w:rFonts w:hint="default" w:ascii="ＭＳ ゴシック" w:hAnsi="ＭＳ ゴシック" w:eastAsia="ＭＳ ゴシック"/>
          <w:color w:val="auto"/>
        </w:rPr>
      </w:pPr>
      <w:r>
        <w:rPr>
          <w:rFonts w:hint="eastAsia" w:ascii="ＭＳ ゴシック" w:hAnsi="ＭＳ ゴシック" w:eastAsia="ＭＳ ゴシック"/>
          <w:color w:val="auto"/>
        </w:rPr>
        <w:t>会計年度任用職員</w:t>
      </w:r>
    </w:p>
    <w:p>
      <w:pPr>
        <w:pStyle w:val="0"/>
        <w:ind w:left="428" w:hanging="428" w:hangingChars="200"/>
        <w:rPr>
          <w:rFonts w:hint="default" w:ascii="ＭＳ ゴシック" w:hAnsi="ＭＳ ゴシック" w:eastAsia="ＭＳ ゴシック"/>
          <w:color w:val="auto"/>
        </w:rPr>
      </w:pPr>
      <w:r>
        <w:rPr>
          <w:rFonts w:hint="eastAsia" w:ascii="ＭＳ ゴシック" w:hAnsi="ＭＳ ゴシック" w:eastAsia="ＭＳ ゴシック"/>
          <w:color w:val="auto"/>
        </w:rPr>
        <w:t>　　　</w:t>
      </w:r>
      <w:r>
        <w:rPr>
          <w:rFonts w:hint="eastAsia" w:asciiTheme="minorEastAsia" w:hAnsiTheme="minorEastAsia" w:eastAsiaTheme="minorEastAsia"/>
          <w:color w:val="auto"/>
        </w:rPr>
        <w:t>地方公務員法及び地方自治法の一部を改正する法律による地方公務員法改正により，臨時，非常勤職員の適性な任用・勤務条件を確保するため，会計年度任用職員制度が創設され，任用，服務規律等の整備を図るとともに，特別職非常勤職員及び臨時的任用職員の任用要件の厳格化が図られることになった。それに伴い，令和２年４月１日以降，従来の「臨時・非常勤職員」については「臨時的任用職員」または「会計年度任用職員」として任用されることになり，任用の状況により地方公務員等共済組合法の適用となる。</w:t>
      </w:r>
    </w:p>
    <w:p>
      <w:pPr>
        <w:pStyle w:val="0"/>
        <w:rPr>
          <w:rFonts w:hint="default" w:ascii="ＭＳ ゴシック" w:hAnsi="ＭＳ ゴシック" w:eastAsia="ＭＳ ゴシック"/>
          <w:color w:val="FF0000"/>
        </w:rPr>
      </w:pPr>
    </w:p>
    <w:p>
      <w:pPr>
        <w:pStyle w:val="0"/>
        <w:rPr>
          <w:rFonts w:hint="default" w:ascii="ＭＳ ゴシック" w:hAnsi="ＭＳ ゴシック" w:eastAsia="ＭＳ ゴシック"/>
          <w:spacing w:val="-1"/>
        </w:rPr>
      </w:pPr>
      <w:r>
        <w:rPr>
          <w:rFonts w:hint="eastAsia" w:ascii="ＭＳ ゴシック" w:hAnsi="ＭＳ ゴシック" w:eastAsia="ＭＳ ゴシック"/>
        </w:rPr>
        <w:t>介護保険</w:t>
      </w:r>
      <w:r>
        <w:rPr>
          <w:rFonts w:hint="eastAsia" w:ascii="ＭＳ ゴシック" w:hAnsi="ＭＳ ゴシック" w:eastAsia="ＭＳ ゴシック"/>
          <w:spacing w:val="-1"/>
        </w:rPr>
        <w:t xml:space="preserve"> </w:t>
      </w:r>
    </w:p>
    <w:p>
      <w:pPr>
        <w:pStyle w:val="0"/>
        <w:ind w:left="429"/>
        <w:rPr>
          <w:rFonts w:hint="default"/>
        </w:rPr>
      </w:pPr>
      <w:r>
        <w:rPr>
          <w:rFonts w:hint="eastAsia"/>
        </w:rPr>
        <w:t>　平成</w:t>
      </w:r>
      <w:r>
        <w:rPr>
          <w:rFonts w:hint="eastAsia"/>
        </w:rPr>
        <w:t>12</w:t>
      </w:r>
      <w:r>
        <w:rPr>
          <w:rFonts w:hint="eastAsia"/>
        </w:rPr>
        <w:t>年４月から市区町村が主体となり，介護サービスの利用者に対して保険給付を行う新しい社会保険制度としてスタートしたもの。</w:t>
      </w:r>
      <w:r>
        <w:rPr>
          <w:rFonts w:hint="eastAsia"/>
        </w:rPr>
        <w:t>40</w:t>
      </w:r>
      <w:r>
        <w:rPr>
          <w:rFonts w:hint="eastAsia"/>
        </w:rPr>
        <w:t>歳以上</w:t>
      </w:r>
      <w:r>
        <w:rPr>
          <w:rFonts w:hint="eastAsia"/>
        </w:rPr>
        <w:t>64</w:t>
      </w:r>
      <w:r>
        <w:rPr>
          <w:rFonts w:hint="eastAsia"/>
        </w:rPr>
        <w:t>歳までが第２号被保険者，</w:t>
      </w:r>
      <w:r>
        <w:rPr>
          <w:rFonts w:hint="eastAsia"/>
        </w:rPr>
        <w:t>65</w:t>
      </w:r>
      <w:r>
        <w:rPr>
          <w:rFonts w:hint="eastAsia"/>
        </w:rPr>
        <w:t>歳以上が第１号被保険者となり，各々保険料を納める方法等が異なる。保険料は，第２号被保険者で健保組合があればその健保組合が徴収し，第１号被保険者等は住所地の市区町村に納付する。第１号被保険者が要介護となれば無条件に介護サービスが受けられるが，第２号被保険者は老化に起因する特定疾病により，介護が必要な場合のみサービスが受けられる。介護サービスを受けるには，いずれの場合も，市区町村での介護認定（要支援，要介護１～５の６段階）が必要である。</w:t>
      </w:r>
      <w:r>
        <w:rPr>
          <w:rFonts w:hint="eastAsia"/>
          <w:spacing w:val="-1"/>
        </w:rPr>
        <w:t xml:space="preserve"> </w:t>
      </w:r>
    </w:p>
    <w:p>
      <w:pPr>
        <w:pStyle w:val="0"/>
        <w:rPr>
          <w:rFonts w:hint="default"/>
        </w:rPr>
      </w:pPr>
    </w:p>
    <w:p>
      <w:pPr>
        <w:pStyle w:val="0"/>
        <w:rPr>
          <w:rFonts w:hint="default"/>
        </w:rPr>
      </w:pPr>
      <w:r>
        <w:rPr>
          <w:rFonts w:hint="eastAsia" w:ascii="ＭＳ ゴシック" w:hAnsi="ＭＳ ゴシック" w:eastAsia="ＭＳ ゴシック"/>
        </w:rPr>
        <w:t>「改正する」と「改める」</w:t>
      </w:r>
    </w:p>
    <w:p>
      <w:pPr>
        <w:pStyle w:val="0"/>
        <w:ind w:left="429"/>
        <w:rPr>
          <w:rFonts w:hint="default"/>
        </w:rPr>
      </w:pPr>
      <w:r>
        <w:rPr>
          <w:rFonts w:hint="eastAsia"/>
          <w:spacing w:val="-1"/>
        </w:rPr>
        <w:t xml:space="preserve">  </w:t>
      </w:r>
      <w:r>
        <w:rPr>
          <w:rFonts w:hint="eastAsia"/>
        </w:rPr>
        <w:t>ある法律を改正する場合に，その法全体をとらえて，その全部又は一部を改めるときは「改正する」を用い，その法令の中の個々の条項を改めるときは「改める」を使う。</w:t>
      </w:r>
    </w:p>
    <w:p>
      <w:pPr>
        <w:pStyle w:val="0"/>
        <w:rPr>
          <w:rFonts w:hint="default"/>
        </w:rPr>
      </w:pPr>
    </w:p>
    <w:p>
      <w:pPr>
        <w:pStyle w:val="0"/>
        <w:rPr>
          <w:rFonts w:hint="default"/>
        </w:rPr>
      </w:pPr>
      <w:r>
        <w:rPr>
          <w:rFonts w:hint="eastAsia" w:ascii="ＭＳ ゴシック" w:hAnsi="ＭＳ ゴシック" w:eastAsia="ＭＳ ゴシック"/>
        </w:rPr>
        <w:t>改定差額</w:t>
      </w:r>
    </w:p>
    <w:p>
      <w:pPr>
        <w:pStyle w:val="0"/>
        <w:ind w:left="429"/>
        <w:rPr>
          <w:rFonts w:hint="default"/>
        </w:rPr>
      </w:pPr>
      <w:r>
        <w:rPr>
          <w:rFonts w:hint="eastAsia"/>
        </w:rPr>
        <w:t>　毎年８月上旬ごろ，人事院が４月分の民間給与及び国家公務員給与の調査をし，その仕事の種類，役職階級，学歴，年齢等が同一条件であるものの給与を比較し（ラスパイレス比較），当該年度の給与改定の具体的な内容を決定し，国会及び内閣に対し給与勧告をする（「人事院勧告」略して人勧ともいう）。また，県人事委員会も国に準じて，県知事及び県議会議長に対し給与勧告を行う。</w:t>
      </w:r>
    </w:p>
    <w:p>
      <w:pPr>
        <w:pStyle w:val="0"/>
        <w:ind w:left="429"/>
        <w:rPr>
          <w:rFonts w:hint="default"/>
        </w:rPr>
      </w:pPr>
      <w:r>
        <w:rPr>
          <w:rFonts w:hint="eastAsia"/>
        </w:rPr>
        <w:t>　両議会通過後，新給与と旧給与の差額を一括して</w:t>
      </w:r>
      <w:r>
        <w:rPr>
          <w:rFonts w:hint="eastAsia"/>
        </w:rPr>
        <w:t>12</w:t>
      </w:r>
      <w:r>
        <w:rPr>
          <w:rFonts w:hint="eastAsia"/>
        </w:rPr>
        <w:t>月下旬ごろに支給される。</w:t>
      </w:r>
    </w:p>
    <w:p>
      <w:pPr>
        <w:pStyle w:val="0"/>
        <w:rPr>
          <w:rFonts w:hint="default"/>
        </w:rPr>
      </w:pPr>
    </w:p>
    <w:p>
      <w:pPr>
        <w:pStyle w:val="0"/>
        <w:rPr>
          <w:rFonts w:hint="default"/>
        </w:rPr>
      </w:pPr>
      <w:r>
        <w:rPr>
          <w:rFonts w:hint="eastAsia" w:ascii="ＭＳ ゴシック" w:hAnsi="ＭＳ ゴシック" w:eastAsia="ＭＳ ゴシック"/>
        </w:rPr>
        <w:t>ガイドライン（</w:t>
      </w:r>
      <w:r>
        <w:rPr>
          <w:rFonts w:hint="eastAsia" w:ascii="ＭＳ ゴシック" w:hAnsi="ＭＳ ゴシック" w:eastAsia="ＭＳ ゴシック"/>
        </w:rPr>
        <w:t>Guideline</w:t>
      </w:r>
      <w:r>
        <w:rPr>
          <w:rFonts w:hint="eastAsia" w:ascii="ＭＳ ゴシック" w:hAnsi="ＭＳ ゴシック" w:eastAsia="ＭＳ ゴシック"/>
        </w:rPr>
        <w:t>）</w:t>
      </w:r>
    </w:p>
    <w:p>
      <w:pPr>
        <w:pStyle w:val="0"/>
        <w:ind w:left="429"/>
        <w:rPr>
          <w:rFonts w:hint="default"/>
        </w:rPr>
      </w:pPr>
      <w:r>
        <w:rPr>
          <w:rFonts w:hint="eastAsia"/>
        </w:rPr>
        <w:t>政策，施策などの指針。</w:t>
      </w:r>
    </w:p>
    <w:p>
      <w:pPr>
        <w:pStyle w:val="0"/>
        <w:rPr>
          <w:rFonts w:hint="default"/>
        </w:rPr>
      </w:pPr>
    </w:p>
    <w:p>
      <w:pPr>
        <w:pStyle w:val="0"/>
        <w:rPr>
          <w:rFonts w:hint="default"/>
        </w:rPr>
      </w:pPr>
      <w:r>
        <w:rPr>
          <w:rFonts w:hint="eastAsia" w:ascii="ＭＳ ゴシック" w:hAnsi="ＭＳ ゴシック" w:eastAsia="ＭＳ ゴシック"/>
        </w:rPr>
        <w:t>学習指導要領</w:t>
      </w:r>
    </w:p>
    <w:p>
      <w:pPr>
        <w:pStyle w:val="0"/>
        <w:ind w:left="429"/>
        <w:rPr>
          <w:rFonts w:hint="default"/>
        </w:rPr>
      </w:pPr>
      <w:r>
        <w:rPr>
          <w:rFonts w:hint="eastAsia"/>
          <w:spacing w:val="-1"/>
        </w:rPr>
        <w:t xml:space="preserve">  </w:t>
      </w:r>
      <w:r>
        <w:rPr>
          <w:rFonts w:hint="eastAsia"/>
        </w:rPr>
        <w:t>文部科学省が定める小学校・中学校・高等学校の教育課程の基準，学習指導活動の指針。昭和</w:t>
      </w:r>
      <w:r>
        <w:rPr>
          <w:rFonts w:hint="eastAsia"/>
        </w:rPr>
        <w:t>22</w:t>
      </w:r>
      <w:r>
        <w:rPr>
          <w:rFonts w:hint="eastAsia"/>
        </w:rPr>
        <w:t>年国定教科書廃止にともない，初めて作成された。教科書はこれに基づいて編集される。</w:t>
      </w:r>
    </w:p>
    <w:p>
      <w:pPr>
        <w:pStyle w:val="0"/>
        <w:ind w:left="429"/>
        <w:rPr>
          <w:rFonts w:hint="default"/>
        </w:rPr>
      </w:pPr>
      <w:r>
        <w:rPr>
          <w:rFonts w:hint="eastAsia"/>
        </w:rPr>
        <w:t>新学習指導要領への移行スケジュール</w:t>
      </w:r>
    </w:p>
    <w:p>
      <w:pPr>
        <w:pStyle w:val="0"/>
        <w:ind w:left="429"/>
        <w:rPr>
          <w:rFonts w:hint="default"/>
          <w:color w:val="auto"/>
        </w:rPr>
      </w:pPr>
      <w:r>
        <w:rPr>
          <w:rFonts w:hint="default"/>
          <w:color w:val="auto"/>
        </w:rPr>
        <w:t>　</w:t>
      </w:r>
      <w:r>
        <w:rPr>
          <w:rFonts w:hint="eastAsia"/>
          <w:color w:val="auto"/>
        </w:rPr>
        <w:t>平成</w:t>
      </w:r>
      <w:r>
        <w:rPr>
          <w:rFonts w:hint="default"/>
          <w:color w:val="auto"/>
        </w:rPr>
        <w:t>29</w:t>
      </w:r>
      <w:r>
        <w:rPr>
          <w:rFonts w:hint="default"/>
          <w:color w:val="auto"/>
        </w:rPr>
        <w:t>年</w:t>
      </w:r>
      <w:r>
        <w:rPr>
          <w:rFonts w:hint="eastAsia"/>
          <w:color w:val="auto"/>
        </w:rPr>
        <w:t>３</w:t>
      </w:r>
      <w:r>
        <w:rPr>
          <w:rFonts w:hint="default"/>
          <w:color w:val="auto"/>
        </w:rPr>
        <w:t>月</w:t>
      </w:r>
      <w:r>
        <w:rPr>
          <w:rFonts w:hint="default"/>
          <w:color w:val="auto"/>
        </w:rPr>
        <w:t>31</w:t>
      </w:r>
      <w:r>
        <w:rPr>
          <w:rFonts w:hint="default"/>
          <w:color w:val="auto"/>
        </w:rPr>
        <w:t>日</w:t>
      </w:r>
      <w:r>
        <w:rPr>
          <w:rFonts w:hint="default"/>
          <w:color w:val="auto"/>
        </w:rPr>
        <w:tab/>
      </w:r>
      <w:r>
        <w:rPr>
          <w:rFonts w:hint="default"/>
          <w:color w:val="auto"/>
        </w:rPr>
        <w:t>　　新学習指導要領告示</w:t>
      </w:r>
    </w:p>
    <w:p>
      <w:pPr>
        <w:pStyle w:val="0"/>
        <w:ind w:left="429"/>
        <w:rPr>
          <w:rFonts w:hint="default"/>
          <w:color w:val="auto"/>
        </w:rPr>
      </w:pPr>
      <w:r>
        <w:rPr>
          <w:rFonts w:hint="eastAsia"/>
          <w:color w:val="auto"/>
        </w:rPr>
        <w:t>　平成</w:t>
      </w:r>
      <w:r>
        <w:rPr>
          <w:rFonts w:hint="default"/>
          <w:color w:val="auto"/>
        </w:rPr>
        <w:t>29</w:t>
      </w:r>
      <w:r>
        <w:rPr>
          <w:rFonts w:hint="default"/>
          <w:color w:val="auto"/>
        </w:rPr>
        <w:t>年</w:t>
      </w:r>
      <w:r>
        <w:rPr>
          <w:rFonts w:hint="eastAsia"/>
          <w:color w:val="auto"/>
        </w:rPr>
        <w:t>４</w:t>
      </w:r>
      <w:r>
        <w:rPr>
          <w:rFonts w:hint="default"/>
          <w:color w:val="auto"/>
        </w:rPr>
        <w:t>月から</w:t>
      </w:r>
      <w:r>
        <w:rPr>
          <w:rFonts w:hint="default"/>
          <w:color w:val="auto"/>
        </w:rPr>
        <w:tab/>
      </w:r>
      <w:r>
        <w:rPr>
          <w:rFonts w:hint="default"/>
          <w:color w:val="auto"/>
        </w:rPr>
        <w:t>　　学校現場への周知・徹底</w:t>
      </w:r>
    </w:p>
    <w:p>
      <w:pPr>
        <w:pStyle w:val="0"/>
        <w:ind w:left="429"/>
        <w:rPr>
          <w:rFonts w:hint="default"/>
          <w:color w:val="auto"/>
        </w:rPr>
      </w:pPr>
      <w:r>
        <w:rPr>
          <w:rFonts w:hint="eastAsia"/>
          <w:color w:val="auto"/>
        </w:rPr>
        <w:t>　平成</w:t>
      </w:r>
      <w:r>
        <w:rPr>
          <w:rFonts w:hint="default"/>
          <w:color w:val="auto"/>
        </w:rPr>
        <w:t>30</w:t>
      </w:r>
      <w:r>
        <w:rPr>
          <w:rFonts w:hint="default"/>
          <w:color w:val="auto"/>
        </w:rPr>
        <w:t>年</w:t>
      </w:r>
      <w:r>
        <w:rPr>
          <w:rFonts w:hint="eastAsia"/>
          <w:color w:val="auto"/>
        </w:rPr>
        <w:t>４</w:t>
      </w:r>
      <w:r>
        <w:rPr>
          <w:rFonts w:hint="default"/>
          <w:color w:val="auto"/>
        </w:rPr>
        <w:t>月から</w:t>
      </w:r>
      <w:r>
        <w:rPr>
          <w:rFonts w:hint="default"/>
          <w:color w:val="auto"/>
        </w:rPr>
        <w:tab/>
      </w:r>
      <w:r>
        <w:rPr>
          <w:rFonts w:hint="default"/>
          <w:color w:val="auto"/>
        </w:rPr>
        <w:t>　　移行措置開始</w:t>
      </w:r>
    </w:p>
    <w:p>
      <w:pPr>
        <w:pStyle w:val="0"/>
        <w:ind w:left="429"/>
        <w:rPr>
          <w:rFonts w:hint="default"/>
          <w:color w:val="auto"/>
        </w:rPr>
      </w:pPr>
      <w:r>
        <w:rPr>
          <w:rFonts w:hint="eastAsia"/>
          <w:color w:val="auto"/>
        </w:rPr>
        <w:t>　令和</w:t>
      </w:r>
      <w:r>
        <w:rPr>
          <w:rFonts w:hint="eastAsia"/>
          <w:color w:val="auto"/>
        </w:rPr>
        <w:t xml:space="preserve"> </w:t>
      </w:r>
      <w:r>
        <w:rPr>
          <w:rFonts w:hint="eastAsia"/>
          <w:color w:val="auto"/>
        </w:rPr>
        <w:t>２</w:t>
      </w:r>
      <w:r>
        <w:rPr>
          <w:rFonts w:hint="default"/>
          <w:color w:val="auto"/>
        </w:rPr>
        <w:t>年</w:t>
      </w:r>
      <w:r>
        <w:rPr>
          <w:rFonts w:hint="eastAsia"/>
          <w:color w:val="auto"/>
        </w:rPr>
        <w:t>４</w:t>
      </w:r>
      <w:r>
        <w:rPr>
          <w:rFonts w:hint="default"/>
          <w:color w:val="auto"/>
        </w:rPr>
        <w:t>月から</w:t>
      </w:r>
      <w:r>
        <w:rPr>
          <w:rFonts w:hint="default"/>
          <w:color w:val="auto"/>
        </w:rPr>
        <w:tab/>
      </w:r>
      <w:r>
        <w:rPr>
          <w:rFonts w:hint="default"/>
          <w:color w:val="auto"/>
        </w:rPr>
        <w:t>　　小学校で全面実施</w:t>
      </w:r>
    </w:p>
    <w:p>
      <w:pPr>
        <w:pStyle w:val="0"/>
        <w:ind w:left="429"/>
        <w:rPr>
          <w:rFonts w:hint="default"/>
          <w:color w:val="000000" w:themeColor="text1"/>
        </w:rPr>
      </w:pPr>
      <w:r>
        <w:rPr>
          <w:rFonts w:hint="eastAsia"/>
          <w:color w:val="auto"/>
        </w:rPr>
        <w:t>　令和</w:t>
      </w:r>
      <w:r>
        <w:rPr>
          <w:rFonts w:hint="eastAsia"/>
          <w:color w:val="auto"/>
        </w:rPr>
        <w:t xml:space="preserve"> </w:t>
      </w:r>
      <w:r>
        <w:rPr>
          <w:rFonts w:hint="eastAsia"/>
          <w:color w:val="auto"/>
        </w:rPr>
        <w:t>３</w:t>
      </w:r>
      <w:r>
        <w:rPr>
          <w:rFonts w:hint="default"/>
          <w:color w:val="auto"/>
        </w:rPr>
        <w:t>年</w:t>
      </w:r>
      <w:r>
        <w:rPr>
          <w:rFonts w:hint="eastAsia"/>
          <w:color w:val="auto"/>
        </w:rPr>
        <w:t>４</w:t>
      </w:r>
      <w:r>
        <w:rPr>
          <w:rFonts w:hint="default"/>
          <w:color w:val="auto"/>
        </w:rPr>
        <w:t>月から</w:t>
      </w:r>
      <w:r>
        <w:rPr>
          <w:rFonts w:hint="default"/>
          <w:color w:val="000000" w:themeColor="text1"/>
        </w:rPr>
        <w:tab/>
      </w:r>
      <w:r>
        <w:rPr>
          <w:rFonts w:hint="default"/>
          <w:color w:val="000000" w:themeColor="text1"/>
        </w:rPr>
        <w:t>　　中学校で全面実施</w:t>
      </w:r>
    </w:p>
    <w:p>
      <w:pPr>
        <w:pStyle w:val="0"/>
        <w:ind w:left="429"/>
        <w:rPr>
          <w:rFonts w:hint="default"/>
          <w:color w:val="000000" w:themeColor="text1"/>
        </w:rPr>
      </w:pPr>
      <w:r>
        <w:rPr>
          <w:rFonts w:hint="eastAsia"/>
          <w:color w:val="000000" w:themeColor="text1"/>
        </w:rPr>
        <w:t>　子供たちが未来社会を切り拓くための資質・能力の育成，子供たちに求められる資質・能力とは何かを社会と共有し連携する「社会に開かれた教育課程」を重視。主体的・対話的で深い学びの実現に向け創意工夫を生かした特色ある教育活動を展開する中で，子供たちに生きる力を育むことを目指す。育成を目指す資質・能力として，知識及び技能が習得されるようにすること，思考力・判断力・表現力等を育成すること，学びに向かう力・人間性等を涵養することが掲げられている。道徳が特別な教科となったほか，小学校においては，中学年で「外国語活動」を，高学年で「外国語科」を導入し，小・中・高等学校一貫した学びで外国語能力の向上を図る。</w:t>
      </w:r>
    </w:p>
    <w:p>
      <w:pPr>
        <w:pStyle w:val="0"/>
        <w:rPr>
          <w:rFonts w:hint="default"/>
        </w:rPr>
      </w:pPr>
    </w:p>
    <w:p>
      <w:pPr>
        <w:pStyle w:val="0"/>
        <w:rPr>
          <w:rFonts w:hint="default"/>
        </w:rPr>
      </w:pPr>
      <w:r>
        <w:rPr>
          <w:rFonts w:hint="eastAsia" w:ascii="ＭＳ ゴシック" w:hAnsi="ＭＳ ゴシック" w:eastAsia="ＭＳ ゴシック"/>
        </w:rPr>
        <w:t>確定申告</w:t>
      </w:r>
    </w:p>
    <w:p>
      <w:pPr>
        <w:pStyle w:val="0"/>
        <w:ind w:left="429"/>
        <w:rPr>
          <w:rFonts w:hint="default"/>
        </w:rPr>
      </w:pPr>
      <w:r>
        <w:rPr>
          <w:rFonts w:hint="eastAsia"/>
        </w:rPr>
        <w:t>　税金に関する申告手続き。個人の場合は，その年の１月１日から</w:t>
      </w:r>
      <w:r>
        <w:rPr>
          <w:rFonts w:hint="eastAsia"/>
        </w:rPr>
        <w:t>12</w:t>
      </w:r>
      <w:r>
        <w:rPr>
          <w:rFonts w:hint="eastAsia"/>
        </w:rPr>
        <w:t>月</w:t>
      </w:r>
      <w:r>
        <w:rPr>
          <w:rFonts w:hint="eastAsia"/>
        </w:rPr>
        <w:t>31</w:t>
      </w:r>
      <w:r>
        <w:rPr>
          <w:rFonts w:hint="eastAsia"/>
        </w:rPr>
        <w:t>日までを課税期間として，その期間内の収入・支出，医療費，家屋の新築・増改築・売買，盗難や火災，寄付，扶養家族状況などから所得を計算した申告書を税務署へ提出し，納付すべき所得税額を確定すること。ただし，給与所得がある場合（会社員や公務員などの給与所得者）は，勤務先で年末調整により最終的な税額が計算されるため，一般的には確定申告の必要はない。</w:t>
      </w:r>
    </w:p>
    <w:p>
      <w:pPr>
        <w:pStyle w:val="0"/>
        <w:rPr>
          <w:rFonts w:hint="default"/>
        </w:rPr>
      </w:pPr>
    </w:p>
    <w:p>
      <w:pPr>
        <w:pStyle w:val="0"/>
        <w:rPr>
          <w:rFonts w:hint="default"/>
        </w:rPr>
      </w:pPr>
      <w:r>
        <w:rPr>
          <w:rFonts w:hint="eastAsia" w:ascii="ＭＳ ゴシック" w:hAnsi="ＭＳ ゴシック" w:eastAsia="ＭＳ ゴシック"/>
        </w:rPr>
        <w:t>課税対象給与額</w:t>
      </w:r>
    </w:p>
    <w:p>
      <w:pPr>
        <w:pStyle w:val="0"/>
        <w:ind w:left="429"/>
        <w:rPr>
          <w:rFonts w:hint="default"/>
        </w:rPr>
      </w:pPr>
      <w:r>
        <w:rPr>
          <w:rFonts w:hint="eastAsia" w:ascii="ＭＳ ゴシック" w:hAnsi="ＭＳ ゴシック" w:eastAsia="ＭＳ ゴシック"/>
        </w:rPr>
        <w:t>　</w:t>
      </w:r>
      <w:r>
        <w:rPr>
          <w:rFonts w:hint="eastAsia"/>
        </w:rPr>
        <w:t>給料，諸手当等の合計額（ただし，通勤手当の非課税額を除く）。この金額から，所得税や住民税が計算される。</w:t>
      </w:r>
    </w:p>
    <w:p>
      <w:pPr>
        <w:pStyle w:val="0"/>
        <w:ind w:left="429"/>
        <w:rPr>
          <w:rFonts w:hint="default"/>
        </w:rPr>
      </w:pPr>
    </w:p>
    <w:p>
      <w:pPr>
        <w:pStyle w:val="0"/>
        <w:rPr>
          <w:rFonts w:hint="default"/>
        </w:rPr>
      </w:pPr>
      <w:r>
        <w:rPr>
          <w:rFonts w:hint="eastAsia" w:ascii="ＭＳ ゴシック" w:hAnsi="ＭＳ ゴシック" w:eastAsia="ＭＳ ゴシック"/>
        </w:rPr>
        <w:t>学級編制</w:t>
      </w:r>
    </w:p>
    <w:p>
      <w:pPr>
        <w:pStyle w:val="0"/>
        <w:ind w:left="429"/>
        <w:rPr>
          <w:rFonts w:hint="default"/>
        </w:rPr>
      </w:pPr>
      <w:r>
        <w:rPr>
          <w:rFonts w:hint="eastAsia"/>
          <w:spacing w:val="-1"/>
        </w:rPr>
        <w:t xml:space="preserve">  </w:t>
      </w:r>
      <w:r>
        <w:rPr>
          <w:rFonts w:hint="eastAsia"/>
        </w:rPr>
        <w:t>学校で授業をするために，児童・生徒をいくつかの継続的な学習集団（＝学級）に組織することをいう。編制の基準には，学年・性別・人数・学業成績などがあげられる。ただし，当該義務教育諸学校の児童又は生徒の数が著しく少ないか，特別の事情がある場合には，数学年の児童・生徒を一学級に編制できる。</w:t>
      </w:r>
    </w:p>
    <w:p>
      <w:pPr>
        <w:pStyle w:val="0"/>
        <w:rPr>
          <w:rFonts w:hint="default"/>
        </w:rPr>
      </w:pPr>
    </w:p>
    <w:p>
      <w:pPr>
        <w:pStyle w:val="0"/>
        <w:rPr>
          <w:rFonts w:hint="default"/>
        </w:rPr>
      </w:pPr>
      <w:r>
        <w:rPr>
          <w:rFonts w:hint="eastAsia" w:ascii="ＭＳ ゴシック" w:hAnsi="ＭＳ ゴシック" w:eastAsia="ＭＳ ゴシック"/>
        </w:rPr>
        <w:t>学級編制基準の弾力化</w:t>
      </w:r>
    </w:p>
    <w:p>
      <w:pPr>
        <w:pStyle w:val="0"/>
        <w:ind w:left="429"/>
        <w:rPr>
          <w:rFonts w:hint="default"/>
        </w:rPr>
      </w:pPr>
      <w:r>
        <w:rPr>
          <w:rFonts w:hint="eastAsia"/>
        </w:rPr>
        <w:t>　平成</w:t>
      </w:r>
      <w:r>
        <w:rPr>
          <w:rFonts w:hint="eastAsia"/>
        </w:rPr>
        <w:t>13</w:t>
      </w:r>
      <w:r>
        <w:rPr>
          <w:rFonts w:hint="eastAsia"/>
        </w:rPr>
        <w:t>年度から始まった第７次教職員定数改善に伴う法改正では，学級編制の児童・生徒数の改善は見送られたが，都道府県教育委員会は，児童又は生徒の実態を考慮し，特に必要と認められる場合は，標準法を下回る基準で学級編制することが可能になった。</w:t>
      </w:r>
    </w:p>
    <w:p>
      <w:pPr>
        <w:pStyle w:val="0"/>
        <w:rPr>
          <w:rFonts w:hint="default"/>
        </w:rPr>
      </w:pPr>
    </w:p>
    <w:p>
      <w:pPr>
        <w:pStyle w:val="0"/>
        <w:rPr>
          <w:rFonts w:hint="default"/>
        </w:rPr>
      </w:pPr>
      <w:r>
        <w:rPr>
          <w:rFonts w:hint="eastAsia" w:ascii="ＭＳ ゴシック" w:hAnsi="ＭＳ ゴシック" w:eastAsia="ＭＳ ゴシック"/>
        </w:rPr>
        <w:t>過年度</w:t>
      </w:r>
      <w:r>
        <w:rPr>
          <w:rFonts w:hint="eastAsia" w:ascii="ＭＳ ゴシック" w:hAnsi="ＭＳ ゴシック" w:eastAsia="ＭＳ ゴシック"/>
          <w:spacing w:val="-1"/>
        </w:rPr>
        <w:t xml:space="preserve"> </w:t>
      </w:r>
    </w:p>
    <w:p>
      <w:pPr>
        <w:pStyle w:val="0"/>
        <w:ind w:left="429"/>
        <w:rPr>
          <w:rFonts w:hint="default"/>
        </w:rPr>
      </w:pPr>
      <w:r>
        <w:rPr>
          <w:rFonts w:hint="eastAsia"/>
        </w:rPr>
        <w:t>　年度を越えてしまうこと。</w:t>
      </w:r>
    </w:p>
    <w:p>
      <w:pPr>
        <w:pStyle w:val="0"/>
        <w:rPr>
          <w:rFonts w:hint="default"/>
        </w:rPr>
      </w:pPr>
    </w:p>
    <w:p>
      <w:pPr>
        <w:pStyle w:val="0"/>
        <w:rPr>
          <w:rFonts w:hint="default"/>
        </w:rPr>
      </w:pPr>
      <w:r>
        <w:rPr>
          <w:rFonts w:hint="eastAsia" w:ascii="ＭＳ ゴシック" w:hAnsi="ＭＳ ゴシック" w:eastAsia="ＭＳ ゴシック"/>
        </w:rPr>
        <w:t>加　　配</w:t>
      </w:r>
    </w:p>
    <w:p>
      <w:pPr>
        <w:pStyle w:val="0"/>
        <w:ind w:left="429"/>
        <w:rPr>
          <w:rFonts w:hint="default"/>
        </w:rPr>
      </w:pPr>
      <w:r>
        <w:rPr>
          <w:rFonts w:hint="eastAsia" w:ascii="ＭＳ ゴシック" w:hAnsi="ＭＳ ゴシック" w:eastAsia="ＭＳ ゴシック"/>
        </w:rPr>
        <w:t>　</w:t>
      </w:r>
      <w:r>
        <w:rPr>
          <w:rFonts w:hint="eastAsia"/>
        </w:rPr>
        <w:t>特定の学校に定員を上回って教職員を割り当てること。</w:t>
      </w:r>
    </w:p>
    <w:p>
      <w:pPr>
        <w:pStyle w:val="0"/>
        <w:ind w:left="429"/>
        <w:rPr>
          <w:rFonts w:hint="default"/>
        </w:rPr>
      </w:pPr>
    </w:p>
    <w:p>
      <w:pPr>
        <w:pStyle w:val="0"/>
        <w:rPr>
          <w:rFonts w:hint="default"/>
        </w:rPr>
      </w:pPr>
      <w:r>
        <w:rPr>
          <w:rFonts w:hint="eastAsia" w:ascii="ＭＳ ゴシック" w:hAnsi="ＭＳ ゴシック" w:eastAsia="ＭＳ ゴシック"/>
        </w:rPr>
        <w:t>寡婦・寡夫（かふ）</w:t>
      </w:r>
    </w:p>
    <w:p>
      <w:pPr>
        <w:pStyle w:val="0"/>
        <w:ind w:left="429"/>
        <w:rPr>
          <w:rFonts w:hint="default"/>
        </w:rPr>
      </w:pPr>
      <w:r>
        <w:rPr>
          <w:rFonts w:hint="eastAsia"/>
        </w:rPr>
        <w:t>　夫（妻）と死別した</w:t>
      </w:r>
      <w:r>
        <w:rPr>
          <w:rFonts w:hint="eastAsia"/>
          <w:color w:val="auto"/>
        </w:rPr>
        <w:t>人若しくは離</w:t>
      </w:r>
      <w:r>
        <w:rPr>
          <w:rFonts w:hint="eastAsia"/>
        </w:rPr>
        <w:t>婚</w:t>
      </w:r>
      <w:r>
        <w:rPr>
          <w:rFonts w:hint="eastAsia"/>
          <w:color w:val="000000" w:themeColor="text1"/>
        </w:rPr>
        <w:t>した後</w:t>
      </w:r>
      <w:r>
        <w:rPr>
          <w:rFonts w:hint="eastAsia"/>
        </w:rPr>
        <w:t>婚姻をしていない人又は妻（夫）の生死が明らかでない人。</w:t>
      </w:r>
    </w:p>
    <w:p>
      <w:pPr>
        <w:pStyle w:val="0"/>
        <w:rPr>
          <w:rFonts w:hint="default"/>
        </w:rPr>
      </w:pPr>
      <w:r>
        <w:rPr>
          <w:rFonts w:hint="eastAsia" w:ascii="ＭＳ ゴシック" w:hAnsi="ＭＳ ゴシック" w:eastAsia="ＭＳ ゴシック"/>
        </w:rPr>
        <w:t>「官報」と「公報」</w:t>
      </w:r>
    </w:p>
    <w:p>
      <w:pPr>
        <w:pStyle w:val="0"/>
        <w:ind w:left="429"/>
        <w:rPr>
          <w:rFonts w:hint="default"/>
        </w:rPr>
      </w:pPr>
      <w:r>
        <w:rPr>
          <w:rFonts w:hint="eastAsia"/>
        </w:rPr>
        <w:t>　ともに，公の機関が公表（あるいは公示，公告，公布）の手段として発行する機関紙のことである。「官報」は国立印刷局が発行している国の機関紙であり，その他の公の機関紙を「公報」という。</w:t>
      </w:r>
    </w:p>
    <w:p>
      <w:pPr>
        <w:pStyle w:val="0"/>
        <w:rPr>
          <w:rFonts w:hint="default"/>
        </w:rPr>
      </w:pPr>
    </w:p>
    <w:p>
      <w:pPr>
        <w:pStyle w:val="0"/>
        <w:rPr>
          <w:rFonts w:hint="default"/>
        </w:rPr>
      </w:pPr>
      <w:r>
        <w:rPr>
          <w:rFonts w:hint="eastAsia" w:ascii="ＭＳ ゴシック" w:hAnsi="ＭＳ ゴシック" w:eastAsia="ＭＳ ゴシック"/>
        </w:rPr>
        <w:t>期　　間</w:t>
      </w:r>
    </w:p>
    <w:p>
      <w:pPr>
        <w:pStyle w:val="0"/>
        <w:ind w:left="429"/>
        <w:rPr>
          <w:rFonts w:hint="default"/>
        </w:rPr>
      </w:pPr>
      <w:r>
        <w:rPr>
          <w:rFonts w:hint="eastAsia"/>
        </w:rPr>
        <w:t>　ある時点から他の時点までの時間的な隔たりをいう。</w:t>
      </w:r>
    </w:p>
    <w:p>
      <w:pPr>
        <w:pStyle w:val="0"/>
        <w:ind w:left="429"/>
        <w:rPr>
          <w:rFonts w:hint="default"/>
        </w:rPr>
      </w:pPr>
      <w:r>
        <w:rPr>
          <w:rFonts w:hint="eastAsia"/>
        </w:rPr>
        <w:t>　（時間単位）時</w:t>
      </w:r>
      <w:r>
        <w:rPr>
          <w:rFonts w:hint="eastAsia"/>
        </w:rPr>
        <w:t>(</w:t>
      </w:r>
      <w:r>
        <w:rPr>
          <w:rFonts w:hint="eastAsia"/>
        </w:rPr>
        <w:t>間</w:t>
      </w:r>
      <w:r>
        <w:rPr>
          <w:rFonts w:hint="eastAsia"/>
        </w:rPr>
        <w:t>)</w:t>
      </w:r>
      <w:r>
        <w:rPr>
          <w:rFonts w:hint="eastAsia"/>
        </w:rPr>
        <w:t>以下の単位で期間を定めたなら（たとえば，今から３時間</w:t>
      </w:r>
      <w:r>
        <w:rPr>
          <w:rFonts w:hint="eastAsia"/>
        </w:rPr>
        <w:t>20</w:t>
      </w:r>
      <w:r>
        <w:rPr>
          <w:rFonts w:hint="eastAsia"/>
        </w:rPr>
        <w:t>分）そのときから計算し始め，定められた時間をそのまま計算する。</w:t>
      </w:r>
    </w:p>
    <w:p>
      <w:pPr>
        <w:pStyle w:val="0"/>
        <w:ind w:left="429"/>
        <w:rPr>
          <w:rFonts w:hint="default"/>
        </w:rPr>
      </w:pPr>
      <w:r>
        <w:rPr>
          <w:rFonts w:hint="eastAsia"/>
        </w:rPr>
        <w:t>　（日単位）日以上を単位とした場合は，初日を入れず，次の日から計算し，その計算も月又は年が単位のときは，日に換算しないで暦に従って数える（「暦年的計算法」という）。週，月又は年の初めから起算しない場合は，最後の週，月又は年において起算日に応当する日の前日をもって，期間が満了する。たとえば，３月</w:t>
      </w:r>
      <w:r>
        <w:rPr>
          <w:rFonts w:hint="eastAsia"/>
        </w:rPr>
        <w:t>20</w:t>
      </w:r>
      <w:r>
        <w:rPr>
          <w:rFonts w:hint="eastAsia"/>
        </w:rPr>
        <w:t>日</w:t>
      </w:r>
      <w:r>
        <w:rPr>
          <w:rFonts w:hint="eastAsia"/>
          <w:color w:val="000000" w:themeColor="text1"/>
        </w:rPr>
        <w:t>から</w:t>
      </w:r>
      <w:r>
        <w:rPr>
          <w:rFonts w:hint="eastAsia"/>
        </w:rPr>
        <w:t>期間を２</w:t>
      </w:r>
      <w:r>
        <w:rPr>
          <w:rFonts w:hint="eastAsia"/>
          <w:color w:val="000000" w:themeColor="text1"/>
        </w:rPr>
        <w:t>か</w:t>
      </w:r>
      <w:r>
        <w:rPr>
          <w:rFonts w:hint="eastAsia"/>
        </w:rPr>
        <w:t>月といえば，起算日は</w:t>
      </w:r>
      <w:r>
        <w:rPr>
          <w:rFonts w:hint="eastAsia"/>
        </w:rPr>
        <w:t>21</w:t>
      </w:r>
      <w:r>
        <w:rPr>
          <w:rFonts w:hint="eastAsia"/>
        </w:rPr>
        <w:t>日で，満了日は５月</w:t>
      </w:r>
      <w:r>
        <w:rPr>
          <w:rFonts w:hint="eastAsia"/>
        </w:rPr>
        <w:t>21</w:t>
      </w:r>
      <w:r>
        <w:rPr>
          <w:rFonts w:hint="eastAsia"/>
        </w:rPr>
        <w:t>日の前日，５月</w:t>
      </w:r>
      <w:r>
        <w:rPr>
          <w:rFonts w:hint="eastAsia"/>
        </w:rPr>
        <w:t>20</w:t>
      </w:r>
      <w:r>
        <w:rPr>
          <w:rFonts w:hint="eastAsia"/>
        </w:rPr>
        <w:t>日である｡</w:t>
      </w:r>
    </w:p>
    <w:p>
      <w:pPr>
        <w:pStyle w:val="0"/>
        <w:ind w:left="429"/>
        <w:rPr>
          <w:rFonts w:hint="default"/>
        </w:rPr>
      </w:pPr>
      <w:r>
        <w:rPr>
          <w:rFonts w:hint="eastAsia"/>
        </w:rPr>
        <w:t>　（月単位）月又は年を単位とする場合で最後の月に応当日がないと，その月の末日を満了日とする。たとえば，計算上，２月</w:t>
      </w:r>
      <w:r>
        <w:rPr>
          <w:rFonts w:hint="eastAsia"/>
        </w:rPr>
        <w:t>30</w:t>
      </w:r>
      <w:r>
        <w:rPr>
          <w:rFonts w:hint="eastAsia"/>
        </w:rPr>
        <w:t>日が満了日となる場合は，</w:t>
      </w:r>
      <w:r>
        <w:rPr>
          <w:rFonts w:hint="eastAsia"/>
        </w:rPr>
        <w:t>28</w:t>
      </w:r>
      <w:r>
        <w:rPr>
          <w:rFonts w:hint="eastAsia"/>
        </w:rPr>
        <w:t>日（うるう年では</w:t>
      </w:r>
      <w:r>
        <w:rPr>
          <w:rFonts w:hint="eastAsia"/>
        </w:rPr>
        <w:t>29</w:t>
      </w:r>
      <w:r>
        <w:rPr>
          <w:rFonts w:hint="eastAsia"/>
        </w:rPr>
        <w:t>日）が満了日となる。もし期間の末日が，祝日，日曜日その他の休日に当たり，その日には取引をしない慣習のある場合に限って，その翌日をもって満了日となる。</w:t>
      </w:r>
    </w:p>
    <w:p>
      <w:pPr>
        <w:pStyle w:val="0"/>
        <w:ind w:left="429"/>
        <w:rPr>
          <w:rFonts w:hint="default"/>
        </w:rPr>
      </w:pPr>
      <w:r>
        <w:rPr>
          <w:rFonts w:hint="eastAsia"/>
        </w:rPr>
        <w:t>　例外として，戸籍の届出期間は届出の日から（戸籍法</w:t>
      </w:r>
      <w:r>
        <w:rPr>
          <w:rFonts w:hint="eastAsia"/>
        </w:rPr>
        <w:t>43</w:t>
      </w:r>
      <w:r>
        <w:rPr>
          <w:rFonts w:hint="eastAsia"/>
        </w:rPr>
        <w:t>条），年齢は出生の日から（年齢計算に関する法律）などがある。</w:t>
      </w:r>
    </w:p>
    <w:p>
      <w:pPr>
        <w:pStyle w:val="0"/>
        <w:ind w:left="429"/>
        <w:rPr>
          <w:rFonts w:hint="default"/>
        </w:rPr>
      </w:pPr>
    </w:p>
    <w:p>
      <w:pPr>
        <w:pStyle w:val="0"/>
        <w:rPr>
          <w:rFonts w:hint="default"/>
        </w:rPr>
      </w:pPr>
      <w:r>
        <w:rPr>
          <w:rFonts w:hint="eastAsia" w:ascii="ＭＳ ゴシック" w:hAnsi="ＭＳ ゴシック" w:eastAsia="ＭＳ ゴシック"/>
        </w:rPr>
        <w:t>規　　則</w:t>
      </w:r>
    </w:p>
    <w:p>
      <w:pPr>
        <w:pStyle w:val="0"/>
        <w:ind w:left="429"/>
        <w:rPr>
          <w:rFonts w:hint="default"/>
        </w:rPr>
      </w:pPr>
      <w:r>
        <w:rPr>
          <w:rFonts w:hint="eastAsia"/>
        </w:rPr>
        <w:t>　規則は，自治立法の一種であるが，議会が制定するのではなく，長・行政委員会に制定権がある。規則には教育委員会規則のように，国の法律の委任に基づくものや条例施行規則のように上位法規に依拠するものも多いが，それらとは独立した内容の規則も制定でき，助成金の交付や過料制裁など，住民の権利義務にかかわる時効も規定できる。その他，重要な内部事項を規定する会計事務規則のような財務規則や職務代理者を定める規則などもある。</w:t>
      </w:r>
    </w:p>
    <w:p>
      <w:pPr>
        <w:pStyle w:val="0"/>
        <w:rPr>
          <w:rFonts w:hint="default"/>
        </w:rPr>
      </w:pPr>
    </w:p>
    <w:p>
      <w:pPr>
        <w:pStyle w:val="0"/>
        <w:rPr>
          <w:rFonts w:hint="default"/>
        </w:rPr>
      </w:pPr>
      <w:r>
        <w:rPr>
          <w:rFonts w:hint="eastAsia" w:ascii="ＭＳ ゴシック" w:hAnsi="ＭＳ ゴシック" w:eastAsia="ＭＳ ゴシック"/>
        </w:rPr>
        <w:t>規　　程</w:t>
      </w:r>
    </w:p>
    <w:p>
      <w:pPr>
        <w:pStyle w:val="0"/>
        <w:ind w:left="429"/>
        <w:rPr>
          <w:rFonts w:hint="default"/>
        </w:rPr>
      </w:pPr>
      <w:r>
        <w:rPr>
          <w:rFonts w:hint="eastAsia"/>
        </w:rPr>
        <w:t>　規程は，行政内部の上部機関が下部機関に示す命令＝訓令の一種で，条文の形式をとるものをいう。</w:t>
      </w:r>
    </w:p>
    <w:p>
      <w:pPr>
        <w:pStyle w:val="0"/>
        <w:rPr>
          <w:rFonts w:hint="default"/>
        </w:rPr>
      </w:pPr>
    </w:p>
    <w:p>
      <w:pPr>
        <w:pStyle w:val="0"/>
        <w:rPr>
          <w:rFonts w:hint="default" w:asciiTheme="majorEastAsia" w:hAnsiTheme="majorEastAsia" w:eastAsiaTheme="majorEastAsia"/>
        </w:rPr>
      </w:pPr>
      <w:r>
        <w:rPr>
          <w:rFonts w:hint="eastAsia" w:asciiTheme="majorEastAsia" w:hAnsiTheme="majorEastAsia" w:eastAsiaTheme="majorEastAsia"/>
        </w:rPr>
        <w:t>義務教育</w:t>
      </w:r>
    </w:p>
    <w:p>
      <w:pPr>
        <w:pStyle w:val="0"/>
        <w:ind w:left="428" w:leftChars="200" w:firstLine="214" w:firstLineChars="100"/>
        <w:rPr>
          <w:rFonts w:hint="default"/>
        </w:rPr>
      </w:pPr>
      <w:r>
        <w:rPr>
          <w:rFonts w:hint="eastAsia"/>
        </w:rPr>
        <w:t>日本国憲法において，すべての国民は法律の定めるところにより等しく教育を受ける権利を有すると定められている。また保護者には，法律の定めるところによりその保護する子女に教育を受けさせる義務があると定められており，この規定に基づく教育が義務教育である。義務教育を行う学校は，小学校，中学校，義務教育学校，中等教育学校の前期課程又は特別支援学校の小学部若しくは中学部であり，これらを義務教育諸学校と呼ぶ。</w:t>
      </w:r>
    </w:p>
    <w:p>
      <w:pPr>
        <w:pStyle w:val="0"/>
        <w:rPr>
          <w:rFonts w:hint="default"/>
        </w:rPr>
      </w:pPr>
    </w:p>
    <w:p>
      <w:pPr>
        <w:pStyle w:val="0"/>
        <w:rPr>
          <w:rFonts w:hint="default"/>
        </w:rPr>
      </w:pPr>
    </w:p>
    <w:p>
      <w:pPr>
        <w:pStyle w:val="0"/>
        <w:rPr>
          <w:rFonts w:hint="default"/>
        </w:rPr>
      </w:pPr>
      <w:r>
        <w:rPr>
          <w:rFonts w:hint="eastAsia" w:ascii="ＭＳ ゴシック" w:hAnsi="ＭＳ ゴシック" w:eastAsia="ＭＳ ゴシック"/>
        </w:rPr>
        <w:t>キャリア教育</w:t>
      </w:r>
    </w:p>
    <w:p>
      <w:pPr>
        <w:pStyle w:val="0"/>
        <w:ind w:left="429"/>
        <w:rPr>
          <w:rFonts w:hint="default"/>
        </w:rPr>
      </w:pPr>
      <w:r>
        <w:rPr>
          <w:rFonts w:hint="eastAsia"/>
        </w:rPr>
        <w:t>　児童・生徒が，学ぶことと自己の将来とのつながりを見通しながら，社会的・職業的自立に向け，必要な基盤となる能力や態度を育てることを通して，キャリア発達（社会の中で自分の役割を果たしながら，自分らしい生き方を実現していく過程）を促す教育である。特別活動を要としつつ，学校の教育活動全体を通じて取り組むとされている。</w:t>
      </w:r>
    </w:p>
    <w:p>
      <w:pPr>
        <w:pStyle w:val="0"/>
        <w:rPr>
          <w:rFonts w:hint="default"/>
        </w:rPr>
      </w:pPr>
    </w:p>
    <w:p>
      <w:pPr>
        <w:pStyle w:val="0"/>
        <w:rPr>
          <w:rFonts w:hint="default"/>
        </w:rPr>
      </w:pPr>
      <w:r>
        <w:rPr>
          <w:rFonts w:hint="eastAsia" w:ascii="ＭＳ ゴシック" w:hAnsi="ＭＳ ゴシック" w:eastAsia="ＭＳ ゴシック"/>
        </w:rPr>
        <w:t>休憩時間</w:t>
      </w:r>
    </w:p>
    <w:p>
      <w:pPr>
        <w:pStyle w:val="0"/>
        <w:ind w:left="429"/>
        <w:rPr>
          <w:rFonts w:hint="default"/>
        </w:rPr>
      </w:pPr>
      <w:r>
        <w:rPr>
          <w:rFonts w:hint="eastAsia"/>
        </w:rPr>
        <w:t>　労働基準法第</w:t>
      </w:r>
      <w:r>
        <w:rPr>
          <w:rFonts w:hint="eastAsia"/>
        </w:rPr>
        <w:t>34</w:t>
      </w:r>
      <w:r>
        <w:rPr>
          <w:rFonts w:hint="eastAsia"/>
        </w:rPr>
        <w:t>条において休憩時間は次のように定められている。</w:t>
      </w:r>
    </w:p>
    <w:p>
      <w:pPr>
        <w:pStyle w:val="0"/>
        <w:ind w:left="857" w:hanging="214"/>
        <w:rPr>
          <w:rFonts w:hint="default"/>
        </w:rPr>
      </w:pPr>
      <w:r>
        <w:rPr>
          <w:rFonts w:hint="eastAsia"/>
        </w:rPr>
        <w:t>１　１日の労働時間が６時間を超える場合には少なくとも</w:t>
      </w:r>
      <w:r>
        <w:rPr>
          <w:rFonts w:hint="eastAsia"/>
        </w:rPr>
        <w:t>45</w:t>
      </w:r>
      <w:r>
        <w:rPr>
          <w:rFonts w:hint="eastAsia"/>
        </w:rPr>
        <w:t>分間，８時間を超える場合には少なくとも１時間。</w:t>
      </w:r>
    </w:p>
    <w:p>
      <w:pPr>
        <w:pStyle w:val="0"/>
        <w:ind w:left="642"/>
        <w:rPr>
          <w:rFonts w:hint="default"/>
        </w:rPr>
      </w:pPr>
      <w:r>
        <w:rPr>
          <w:rFonts w:hint="eastAsia"/>
        </w:rPr>
        <w:t>２　労働時間の途中。</w:t>
      </w:r>
    </w:p>
    <w:p>
      <w:pPr>
        <w:pStyle w:val="0"/>
        <w:ind w:left="642"/>
        <w:rPr>
          <w:rFonts w:hint="default"/>
        </w:rPr>
      </w:pPr>
      <w:r>
        <w:rPr>
          <w:rFonts w:hint="eastAsia"/>
        </w:rPr>
        <w:t>３　一斉に与えなければならない。</w:t>
      </w:r>
    </w:p>
    <w:p>
      <w:pPr>
        <w:pStyle w:val="0"/>
        <w:ind w:left="642"/>
        <w:rPr>
          <w:rFonts w:hint="default"/>
        </w:rPr>
      </w:pPr>
      <w:r>
        <w:rPr>
          <w:rFonts w:hint="eastAsia"/>
        </w:rPr>
        <w:t>４　休憩時間は労働者に自由にさせなければならない。</w:t>
      </w:r>
    </w:p>
    <w:p>
      <w:pPr>
        <w:pStyle w:val="0"/>
        <w:ind w:left="429"/>
        <w:rPr>
          <w:rFonts w:hint="default"/>
        </w:rPr>
      </w:pPr>
      <w:r>
        <w:rPr>
          <w:rFonts w:hint="eastAsia"/>
        </w:rPr>
        <w:t>　従来，休憩時間の分割交代付与は行政官庁の許可が必要であるが，改正労基法では，労使協定に委ねるものとされた。具体的には，「労働者の過半数を組織する労働組合がある場合はその労働組合，ない場合は，労働者の過半数を代表する者との書面による協定がある場合は，その限りではない。」と変更された。</w:t>
      </w:r>
    </w:p>
    <w:p>
      <w:pPr>
        <w:pStyle w:val="0"/>
        <w:ind w:left="429"/>
        <w:rPr>
          <w:rFonts w:hint="default"/>
        </w:rPr>
      </w:pPr>
      <w:r>
        <w:rPr>
          <w:rFonts w:hint="eastAsia"/>
        </w:rPr>
        <w:t>　この規程変更は，休憩時間が他職場に比べ確保しづらい状況におかれている学校職場にとっては，大きな意味を持つといえる。</w:t>
      </w:r>
    </w:p>
    <w:p>
      <w:pPr>
        <w:pStyle w:val="0"/>
        <w:rPr>
          <w:rFonts w:hint="default"/>
        </w:rPr>
      </w:pPr>
    </w:p>
    <w:p>
      <w:pPr>
        <w:pStyle w:val="0"/>
        <w:rPr>
          <w:rFonts w:hint="default"/>
        </w:rPr>
      </w:pPr>
      <w:r>
        <w:rPr>
          <w:rFonts w:hint="eastAsia" w:ascii="ＭＳ ゴシック" w:hAnsi="ＭＳ ゴシック" w:eastAsia="ＭＳ ゴシック"/>
        </w:rPr>
        <w:t>給特法（国立及び公立の義務教育諸学校等の教育職員の給与等に関する特別措置法）</w:t>
      </w:r>
    </w:p>
    <w:p>
      <w:pPr>
        <w:pStyle w:val="0"/>
        <w:ind w:left="429"/>
        <w:rPr>
          <w:rFonts w:hint="default"/>
        </w:rPr>
      </w:pPr>
      <w:r>
        <w:rPr>
          <w:rFonts w:hint="eastAsia"/>
        </w:rPr>
        <w:t>　戦前官吏は無定量の勤務に服すべきものとされ，時間外勤務手当の概念は無かったが，昭和</w:t>
      </w:r>
      <w:r>
        <w:rPr>
          <w:rFonts w:hint="eastAsia"/>
        </w:rPr>
        <w:t>22</w:t>
      </w:r>
      <w:r>
        <w:rPr>
          <w:rFonts w:hint="eastAsia"/>
        </w:rPr>
        <w:t>年労働基準法制定により，公務員にも時間外勤務手当の導入が図られることとなった。しかし，教育公務員については，実態として時間外手当が支給されることはなく，不正常な状態が続いた。これは，長期休業中の勤務地を離れた研修の権利の問題や勤務時間外の活動が多いことなど，教員の勤務が単純に時間的な把握をしがたいという理由によるものであった。</w:t>
      </w:r>
    </w:p>
    <w:p>
      <w:pPr>
        <w:pStyle w:val="0"/>
        <w:ind w:left="429"/>
        <w:rPr>
          <w:rFonts w:hint="default"/>
        </w:rPr>
      </w:pPr>
      <w:r>
        <w:rPr>
          <w:rFonts w:hint="eastAsia"/>
        </w:rPr>
        <w:t>　昭和</w:t>
      </w:r>
      <w:r>
        <w:rPr>
          <w:rFonts w:hint="eastAsia"/>
        </w:rPr>
        <w:t>4</w:t>
      </w:r>
      <w:r>
        <w:rPr>
          <w:rFonts w:hint="default"/>
        </w:rPr>
        <w:t>6</w:t>
      </w:r>
      <w:r>
        <w:rPr>
          <w:rFonts w:hint="eastAsia"/>
        </w:rPr>
        <w:t>年に人事院は，義務教育諸学校の教員についてはその職務と勤務形態の特殊性を勤務時間の内外を問わずに一体的・包括的に評価することとして，教職調整額を新設して支給し，そのかわり時間外手当を支給しないこととする旨の意見をまとめた。これに基づき，本法が成立し，昭和</w:t>
      </w:r>
      <w:r>
        <w:rPr>
          <w:rFonts w:hint="eastAsia"/>
        </w:rPr>
        <w:t>47</w:t>
      </w:r>
      <w:r>
        <w:rPr>
          <w:rFonts w:hint="eastAsia"/>
        </w:rPr>
        <w:t>年から実施された。　</w:t>
      </w:r>
    </w:p>
    <w:p>
      <w:pPr>
        <w:pStyle w:val="0"/>
        <w:ind w:left="429"/>
        <w:rPr>
          <w:rFonts w:hint="default"/>
        </w:rPr>
      </w:pPr>
    </w:p>
    <w:p>
      <w:pPr>
        <w:pStyle w:val="0"/>
        <w:rPr>
          <w:rFonts w:hint="default"/>
        </w:rPr>
      </w:pPr>
      <w:r>
        <w:rPr>
          <w:rFonts w:hint="eastAsia" w:ascii="ＭＳ ゴシック" w:hAnsi="ＭＳ ゴシック" w:eastAsia="ＭＳ ゴシック"/>
        </w:rPr>
        <w:t>「給与の支払い者」と「任命権者」，「服務監督権者」</w:t>
      </w:r>
    </w:p>
    <w:p>
      <w:pPr>
        <w:pStyle w:val="0"/>
        <w:ind w:left="429"/>
        <w:rPr>
          <w:rFonts w:hint="default"/>
        </w:rPr>
      </w:pPr>
      <w:r>
        <w:rPr>
          <w:rFonts w:hint="eastAsia"/>
          <w:spacing w:val="-1"/>
        </w:rPr>
        <w:t xml:space="preserve">  </w:t>
      </w:r>
      <w:r>
        <w:rPr>
          <w:rFonts w:hint="eastAsia"/>
        </w:rPr>
        <w:t>石川県の小中学校に勤務する県費負担教職員の「給与の支払い者」は石川県知事，「任命権者」は石川県教育委員会，「服務監督権者」は市町教育委員会をいう。ちなみに，「給与の管理者」は石川県教育委員会教職員課長である。</w:t>
      </w:r>
    </w:p>
    <w:p>
      <w:pPr>
        <w:pStyle w:val="0"/>
        <w:ind w:left="429"/>
        <w:rPr>
          <w:rFonts w:hint="default"/>
        </w:rPr>
      </w:pPr>
      <w:r>
        <w:rPr>
          <w:rFonts w:hint="eastAsia"/>
        </w:rPr>
        <w:t>　諸届等の提出先によって，あて先が異なり，混同しやすいので注意したい。</w:t>
      </w:r>
    </w:p>
    <w:p>
      <w:pPr>
        <w:pStyle w:val="0"/>
        <w:rPr>
          <w:rFonts w:hint="default"/>
        </w:rPr>
      </w:pPr>
    </w:p>
    <w:p>
      <w:pPr>
        <w:pStyle w:val="0"/>
        <w:rPr>
          <w:rFonts w:hint="default"/>
        </w:rPr>
      </w:pPr>
      <w:r>
        <w:rPr>
          <w:rFonts w:hint="eastAsia" w:ascii="ＭＳ ゴシック" w:hAnsi="ＭＳ ゴシック" w:eastAsia="ＭＳ ゴシック"/>
        </w:rPr>
        <w:t>教育課程</w:t>
      </w:r>
    </w:p>
    <w:p>
      <w:pPr>
        <w:pStyle w:val="0"/>
        <w:ind w:left="429"/>
        <w:rPr>
          <w:rFonts w:hint="default"/>
        </w:rPr>
      </w:pPr>
      <w:r>
        <w:rPr>
          <w:rFonts w:hint="eastAsia"/>
          <w:spacing w:val="-1"/>
        </w:rPr>
        <w:t xml:space="preserve">  </w:t>
      </w:r>
      <w:r>
        <w:rPr>
          <w:rFonts w:hint="eastAsia"/>
        </w:rPr>
        <w:t>学校の教育目的や教育目標を達成するために，児童・生徒の心身の発達に応じて，教育内容と授業時数との関連を総合的に組織した計画のことをいう。地域や学校の実態，児童・生徒の発達段階や特</w:t>
      </w:r>
      <w:r>
        <w:rPr>
          <w:rFonts w:hint="eastAsia"/>
          <w:color w:val="auto"/>
        </w:rPr>
        <w:t>性に十分に配慮し</w:t>
      </w:r>
      <w:r>
        <w:rPr>
          <w:rFonts w:hint="eastAsia"/>
        </w:rPr>
        <w:t>て，望ましい学習が展開されるように教科・科目・指導領域を設け，各学校において編成する。編成された教育課程は，年度始めに，教育委員会に届出，承認される。年度の途中で変更する場合も，同様とする。</w:t>
      </w:r>
    </w:p>
    <w:p>
      <w:pPr>
        <w:pStyle w:val="0"/>
        <w:ind w:left="429"/>
        <w:rPr>
          <w:rFonts w:hint="default"/>
        </w:rPr>
      </w:pPr>
    </w:p>
    <w:p>
      <w:pPr>
        <w:pStyle w:val="0"/>
        <w:rPr>
          <w:rFonts w:hint="default"/>
        </w:rPr>
      </w:pPr>
      <w:r>
        <w:rPr>
          <w:rFonts w:hint="eastAsia" w:ascii="ＭＳ ゴシック" w:hAnsi="ＭＳ ゴシック" w:eastAsia="ＭＳ ゴシック"/>
        </w:rPr>
        <w:t>教育公務員</w:t>
      </w:r>
    </w:p>
    <w:p>
      <w:pPr>
        <w:pStyle w:val="0"/>
        <w:ind w:left="429"/>
        <w:rPr>
          <w:rFonts w:hint="default"/>
        </w:rPr>
      </w:pPr>
      <w:r>
        <w:rPr>
          <w:rFonts w:hint="eastAsia"/>
        </w:rPr>
        <w:t>　教育公務員は，教育公務員特例法第２条で定義されている概念である。地方公務員のうち，学校教育法第２条に定める学校であって同法第２条に定める公立学校の学長，校長，教員及び部局長並びに教育委員会の教育長及び専門的教育職員をいう。</w:t>
      </w:r>
    </w:p>
    <w:p>
      <w:pPr>
        <w:pStyle w:val="0"/>
        <w:rPr>
          <w:rFonts w:hint="default"/>
        </w:rPr>
      </w:pPr>
    </w:p>
    <w:p>
      <w:pPr>
        <w:pStyle w:val="0"/>
        <w:rPr>
          <w:rFonts w:hint="default"/>
        </w:rPr>
      </w:pPr>
      <w:r>
        <w:rPr>
          <w:rFonts w:hint="eastAsia" w:ascii="ＭＳ ゴシック" w:hAnsi="ＭＳ ゴシック" w:eastAsia="ＭＳ ゴシック"/>
        </w:rPr>
        <w:t>教育公務員特例法</w:t>
      </w:r>
    </w:p>
    <w:p>
      <w:pPr>
        <w:pStyle w:val="0"/>
        <w:ind w:left="429" w:firstLine="214"/>
        <w:rPr>
          <w:rFonts w:hint="default"/>
        </w:rPr>
      </w:pPr>
      <w:r>
        <w:rPr>
          <w:rFonts w:hint="eastAsia"/>
        </w:rPr>
        <w:t>昭和</w:t>
      </w:r>
      <w:r>
        <w:rPr>
          <w:rFonts w:hint="eastAsia"/>
        </w:rPr>
        <w:t>24</w:t>
      </w:r>
      <w:r>
        <w:rPr>
          <w:rFonts w:hint="eastAsia"/>
        </w:rPr>
        <w:t>年１月，国家公務員法及び地方公務員法の特例法として，公立学校教員の特例的な身分取扱を規定するものとして誕生した。本法が成立するまでは，教員の身分は不安定なもので，地方自治法が施行され，教育委員会が発足しても「暫定官吏」という待遇であった。</w:t>
      </w:r>
    </w:p>
    <w:p>
      <w:pPr>
        <w:pStyle w:val="0"/>
        <w:ind w:left="429" w:firstLine="214"/>
        <w:rPr>
          <w:rFonts w:hint="default"/>
        </w:rPr>
      </w:pPr>
      <w:r>
        <w:rPr>
          <w:rFonts w:hint="eastAsia"/>
        </w:rPr>
        <w:t>本法は第３条で，国立学校の教員は国家公務員，公立学校の教員は地方公務員と規定し，身分が確立した。</w:t>
      </w:r>
    </w:p>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教員免許更新制</w:t>
      </w:r>
    </w:p>
    <w:p>
      <w:pPr>
        <w:pStyle w:val="0"/>
        <w:ind w:left="428" w:leftChars="200" w:firstLine="214" w:firstLineChars="100"/>
        <w:rPr>
          <w:rFonts w:hint="default"/>
        </w:rPr>
      </w:pPr>
      <w:r>
        <w:rPr>
          <w:rFonts w:hint="eastAsia"/>
        </w:rPr>
        <w:t>平成</w:t>
      </w:r>
      <w:r>
        <w:rPr>
          <w:rFonts w:hint="eastAsia"/>
        </w:rPr>
        <w:t>21</w:t>
      </w:r>
      <w:r>
        <w:rPr>
          <w:rFonts w:hint="eastAsia"/>
        </w:rPr>
        <w:t>年４月，教員が定期的に新しい知識技能を身に付けることを目的として導入された。</w:t>
      </w:r>
      <w:r>
        <w:rPr>
          <w:rFonts w:hint="eastAsia"/>
        </w:rPr>
        <w:t>10</w:t>
      </w:r>
      <w:r>
        <w:rPr>
          <w:rFonts w:hint="eastAsia"/>
        </w:rPr>
        <w:t>年に一度，</w:t>
      </w:r>
      <w:r>
        <w:rPr>
          <w:rFonts w:hint="eastAsia"/>
        </w:rPr>
        <w:t>30</w:t>
      </w:r>
      <w:r>
        <w:rPr>
          <w:rFonts w:hint="eastAsia"/>
        </w:rPr>
        <w:t>時間以上の更新講習を受講・修了した後，都道府県教育委員会に申請することにより有効期限が延長されるものであった。</w:t>
      </w:r>
    </w:p>
    <w:p>
      <w:pPr>
        <w:pStyle w:val="0"/>
        <w:ind w:left="428" w:leftChars="200" w:firstLine="214" w:firstLineChars="100"/>
        <w:rPr>
          <w:rFonts w:hint="default"/>
        </w:rPr>
      </w:pPr>
      <w:r>
        <w:rPr>
          <w:rFonts w:hint="eastAsia"/>
        </w:rPr>
        <w:t>令和４年７月１日より本制度は廃止され，令和５年４月からは，教員の研修について記録作成を教育委員会に義務付け，校長が教員に指導助言する仕組みが始まる。なお，有効期限のある免許状は期限後もすべての都道府県において効力を有する。</w:t>
      </w:r>
    </w:p>
    <w:p>
      <w:pPr>
        <w:pStyle w:val="0"/>
        <w:rPr>
          <w:rFonts w:hint="default"/>
        </w:rPr>
      </w:pPr>
    </w:p>
    <w:p>
      <w:pPr>
        <w:pStyle w:val="0"/>
        <w:spacing w:line="315" w:lineRule="exact"/>
        <w:rPr>
          <w:rFonts w:hint="default"/>
        </w:rPr>
      </w:pPr>
      <w:r>
        <w:rPr>
          <w:rFonts w:hint="eastAsia" w:ascii="ＭＳ ゴシック" w:hAnsi="ＭＳ ゴシック" w:eastAsia="ＭＳ ゴシック"/>
        </w:rPr>
        <w:t>グローバル化（</w:t>
      </w:r>
      <w:r>
        <w:rPr>
          <w:rFonts w:hint="eastAsia" w:ascii="ＭＳ ゴシック" w:hAnsi="ＭＳ ゴシック" w:eastAsia="ＭＳ ゴシック"/>
        </w:rPr>
        <w:t>Globalization</w:t>
      </w:r>
      <w:r>
        <w:rPr>
          <w:rFonts w:hint="eastAsia" w:ascii="ＭＳ ゴシック" w:hAnsi="ＭＳ ゴシック" w:eastAsia="ＭＳ ゴシック"/>
        </w:rPr>
        <w:t>）</w:t>
      </w:r>
    </w:p>
    <w:p>
      <w:pPr>
        <w:pStyle w:val="0"/>
        <w:spacing w:line="315" w:lineRule="exact"/>
        <w:ind w:left="429"/>
        <w:rPr>
          <w:rFonts w:hint="default"/>
        </w:rPr>
      </w:pPr>
      <w:r>
        <w:rPr>
          <w:rFonts w:hint="eastAsia"/>
        </w:rPr>
        <w:t>　人や物，資金，情報の国境を越えた移動が地球規模で盛んとなり，政治や経済などさまざまな分野での境界線がなくなり，相互依存の関係が深まっていく現象。</w:t>
      </w:r>
      <w:r>
        <w:rPr>
          <w:rFonts w:hint="eastAsia"/>
          <w:spacing w:val="-1"/>
        </w:rPr>
        <w:t xml:space="preserve"> </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「契印」と「割印」</w:t>
      </w:r>
    </w:p>
    <w:p>
      <w:pPr>
        <w:pStyle w:val="0"/>
        <w:spacing w:line="315" w:lineRule="exact"/>
        <w:ind w:left="429"/>
        <w:rPr>
          <w:rFonts w:hint="default"/>
        </w:rPr>
      </w:pPr>
      <w:r>
        <w:rPr>
          <w:rFonts w:hint="eastAsia"/>
        </w:rPr>
        <w:t>　「契印」とは，一つの書類が数枚の紙からできている場合や数個の書類を一つの書類として用いる場合に，それらが一つのまとまりをもっていることを証するため，つづり目又はつなぎ目にかけて印を押すことである。これに対し，数個の書類が相互に関連性を有する場合，このことを証するために両書類にまたがって印を押すことを，「割印」とよんでいる。</w:t>
      </w:r>
    </w:p>
    <w:p>
      <w:pPr>
        <w:pStyle w:val="0"/>
        <w:spacing w:line="315" w:lineRule="exact"/>
        <w:ind w:left="429"/>
        <w:rPr>
          <w:rFonts w:hint="default"/>
        </w:rPr>
      </w:pPr>
    </w:p>
    <w:p>
      <w:pPr>
        <w:pStyle w:val="0"/>
        <w:spacing w:line="315" w:lineRule="exact"/>
        <w:rPr>
          <w:rFonts w:hint="default"/>
        </w:rPr>
      </w:pPr>
      <w:r>
        <w:rPr>
          <w:rFonts w:hint="eastAsia" w:ascii="ＭＳ ゴシック" w:hAnsi="ＭＳ ゴシック" w:eastAsia="ＭＳ ゴシック"/>
        </w:rPr>
        <w:t>兼　　職</w:t>
      </w:r>
    </w:p>
    <w:p>
      <w:pPr>
        <w:pStyle w:val="0"/>
        <w:spacing w:line="315" w:lineRule="exact"/>
        <w:ind w:left="429"/>
        <w:rPr>
          <w:rFonts w:hint="default"/>
        </w:rPr>
      </w:pPr>
      <w:r>
        <w:rPr>
          <w:rFonts w:hint="eastAsia"/>
        </w:rPr>
        <w:t xml:space="preserve">  </w:t>
      </w:r>
      <w:r>
        <w:rPr>
          <w:rFonts w:hint="eastAsia"/>
        </w:rPr>
        <w:t>本職の他に職業を兼ねること。教育公務員は，教育に関する他の職を兼ね，又は教育に関する他の事業若しくは事務に従事することが本務の遂行に支障がないと任命権者において認める場合には，給与を受け，又は受けないで，その職を兼ね，又はその事業若しくは事務に従事することができる。</w:t>
      </w:r>
    </w:p>
    <w:p>
      <w:pPr>
        <w:pStyle w:val="0"/>
        <w:spacing w:line="315" w:lineRule="exact"/>
        <w:ind w:left="429"/>
        <w:rPr>
          <w:rFonts w:hint="default"/>
        </w:rPr>
      </w:pPr>
      <w:r>
        <w:rPr>
          <w:rFonts w:hint="eastAsia"/>
        </w:rPr>
        <w:t>　また，公務員は，任命権者の許可を受けなければ，営利を目的とする私企業を営むことを目的とする会社やその他の団体の役員を兼ね，若しくは自ら営利を目的とする私企業を営み報酬を得る事業や事務に従事してはならない。</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源泉徴収</w:t>
      </w:r>
    </w:p>
    <w:p>
      <w:pPr>
        <w:pStyle w:val="0"/>
        <w:spacing w:line="315" w:lineRule="exact"/>
        <w:ind w:left="429"/>
        <w:rPr>
          <w:rFonts w:hint="default"/>
        </w:rPr>
      </w:pPr>
      <w:r>
        <w:rPr>
          <w:rFonts w:hint="eastAsia"/>
        </w:rPr>
        <w:t>　課税方法の１つで給与支払者が給与を支給する際にあらかじめ所得税を引き去る行為。</w:t>
      </w:r>
    </w:p>
    <w:p>
      <w:pPr>
        <w:pStyle w:val="0"/>
        <w:spacing w:line="315" w:lineRule="exact"/>
        <w:rPr>
          <w:rFonts w:hint="default"/>
        </w:rPr>
      </w:pPr>
    </w:p>
    <w:p>
      <w:pPr>
        <w:pStyle w:val="0"/>
        <w:rPr>
          <w:rFonts w:hint="default"/>
        </w:rPr>
      </w:pPr>
      <w:r>
        <w:rPr>
          <w:rFonts w:hint="eastAsia" w:ascii="ＭＳ ゴシック" w:hAnsi="ＭＳ ゴシック" w:eastAsia="ＭＳ ゴシック"/>
        </w:rPr>
        <w:t>後期高齢者医療制度</w:t>
      </w:r>
    </w:p>
    <w:p>
      <w:pPr>
        <w:pStyle w:val="0"/>
        <w:ind w:left="429"/>
        <w:rPr>
          <w:rFonts w:hint="default"/>
        </w:rPr>
      </w:pPr>
      <w:r>
        <w:rPr>
          <w:rFonts w:hint="eastAsia"/>
        </w:rPr>
        <w:t>　後期高齢者医療制度は，高齢者の医療費を安定的に支えるため，現役世代と高齢者が負担能力に応じて公平に負担することが必要であることから，</w:t>
      </w:r>
      <w:r>
        <w:rPr>
          <w:rFonts w:hint="eastAsia"/>
        </w:rPr>
        <w:t>75</w:t>
      </w:r>
      <w:r>
        <w:rPr>
          <w:rFonts w:hint="eastAsia"/>
        </w:rPr>
        <w:t>歳以上の高齢者を対象とする独立した医療制度として，平成</w:t>
      </w:r>
      <w:r>
        <w:rPr>
          <w:rFonts w:hint="eastAsia"/>
        </w:rPr>
        <w:t>20</w:t>
      </w:r>
      <w:r>
        <w:rPr>
          <w:rFonts w:hint="eastAsia"/>
        </w:rPr>
        <w:t>年４月に施行された。</w:t>
      </w:r>
    </w:p>
    <w:p>
      <w:pPr>
        <w:pStyle w:val="0"/>
        <w:ind w:left="429"/>
        <w:rPr>
          <w:rFonts w:hint="default"/>
        </w:rPr>
      </w:pPr>
      <w:r>
        <w:rPr>
          <w:rFonts w:hint="eastAsia"/>
        </w:rPr>
        <w:t>　制度の独立化と都道府県単位で全市町村が加入する広域連合を設置することにより，「医療費の適正化」も視野に入れた制度となって</w:t>
      </w:r>
      <w:r>
        <w:rPr>
          <w:rFonts w:hint="eastAsia"/>
          <w:color w:val="000000" w:themeColor="text1"/>
        </w:rPr>
        <w:t>い</w:t>
      </w:r>
      <w:r>
        <w:rPr>
          <w:rFonts w:hint="eastAsia"/>
        </w:rPr>
        <w:t>る。</w:t>
      </w:r>
    </w:p>
    <w:p>
      <w:pPr>
        <w:pStyle w:val="0"/>
        <w:ind w:left="429"/>
        <w:rPr>
          <w:rFonts w:hint="default"/>
        </w:rPr>
      </w:pPr>
      <w:r>
        <w:rPr>
          <w:rFonts w:hint="eastAsia"/>
        </w:rPr>
        <w:t>　患者の窓口負担医療費は１割（現役並み所得者は３割，一定以上所得のある方は２割）となり，窓口業務（申請受付，保険者証の引渡しなど）や保険料の徴収事務は市町村が行う。被保険者の資格管理，保険料の賦課，給付，財政運営などの事務は後期高齢者医療広域連合が行う。</w:t>
      </w:r>
      <w:r>
        <w:rPr>
          <w:rFonts w:hint="eastAsia"/>
          <w:spacing w:val="-1"/>
        </w:rPr>
        <w:t xml:space="preserve"> </w:t>
      </w:r>
    </w:p>
    <w:p>
      <w:pPr>
        <w:pStyle w:val="0"/>
        <w:ind w:left="429"/>
        <w:rPr>
          <w:rFonts w:hint="default"/>
        </w:rPr>
      </w:pPr>
      <w:r>
        <w:rPr>
          <w:rFonts w:hint="eastAsia"/>
        </w:rPr>
        <w:t>　この制度の施行により，共済組合員の被扶養者であった</w:t>
      </w:r>
      <w:r>
        <w:rPr>
          <w:rFonts w:hint="eastAsia"/>
        </w:rPr>
        <w:t>75</w:t>
      </w:r>
      <w:r>
        <w:rPr>
          <w:rFonts w:hint="eastAsia"/>
        </w:rPr>
        <w:t>歳以上の人及び</w:t>
      </w:r>
      <w:r>
        <w:rPr>
          <w:rFonts w:hint="eastAsia"/>
        </w:rPr>
        <w:t>65</w:t>
      </w:r>
      <w:r>
        <w:rPr>
          <w:rFonts w:hint="eastAsia"/>
        </w:rPr>
        <w:t>歳から</w:t>
      </w:r>
      <w:r>
        <w:rPr>
          <w:rFonts w:hint="eastAsia"/>
        </w:rPr>
        <w:t>74</w:t>
      </w:r>
      <w:r>
        <w:rPr>
          <w:rFonts w:hint="eastAsia"/>
        </w:rPr>
        <w:t>歳までで一定の障害状態にあって広域連合の認定を受けた人は，被扶養者としての資格を失い，後期高齢者医療制度に加入することとなった。</w:t>
      </w:r>
    </w:p>
    <w:p>
      <w:pPr>
        <w:pStyle w:val="0"/>
        <w:rPr>
          <w:rFonts w:hint="default"/>
        </w:rPr>
      </w:pPr>
    </w:p>
    <w:p>
      <w:pPr>
        <w:pStyle w:val="0"/>
        <w:spacing w:line="315" w:lineRule="exact"/>
        <w:rPr>
          <w:rFonts w:hint="default"/>
        </w:rPr>
      </w:pPr>
      <w:r>
        <w:rPr>
          <w:rFonts w:hint="eastAsia" w:ascii="ＭＳ ゴシック" w:hAnsi="ＭＳ ゴシック" w:eastAsia="ＭＳ ゴシック"/>
        </w:rPr>
        <w:t>校務分掌表</w:t>
      </w:r>
    </w:p>
    <w:p>
      <w:pPr>
        <w:pStyle w:val="0"/>
        <w:spacing w:line="315" w:lineRule="exact"/>
        <w:ind w:left="429"/>
        <w:rPr>
          <w:rFonts w:hint="default"/>
        </w:rPr>
      </w:pPr>
      <w:r>
        <w:rPr>
          <w:rFonts w:hint="eastAsia"/>
        </w:rPr>
        <w:t>　学校運営組織を図表化した一覧。全職員の職務担当分担が明確に示されている。</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国民年金の被保険者</w:t>
      </w:r>
    </w:p>
    <w:p>
      <w:pPr>
        <w:pStyle w:val="0"/>
        <w:spacing w:line="315" w:lineRule="exact"/>
        <w:ind w:left="429"/>
        <w:rPr>
          <w:rFonts w:hint="default"/>
        </w:rPr>
      </w:pPr>
      <w:r>
        <w:rPr>
          <w:rFonts w:hint="eastAsia"/>
        </w:rPr>
        <w:t>　国民年金の被保険者は，国内に住所をもつ</w:t>
      </w:r>
      <w:r>
        <w:rPr>
          <w:rFonts w:hint="eastAsia"/>
        </w:rPr>
        <w:t>20</w:t>
      </w:r>
      <w:r>
        <w:rPr>
          <w:rFonts w:hint="eastAsia"/>
        </w:rPr>
        <w:t>歳以上の者が該当する（外国人も含む）。</w:t>
      </w:r>
    </w:p>
    <w:p>
      <w:pPr>
        <w:pStyle w:val="0"/>
        <w:spacing w:line="315" w:lineRule="exact"/>
        <w:ind w:left="429"/>
        <w:rPr>
          <w:rFonts w:hint="default"/>
        </w:rPr>
      </w:pPr>
      <w:r>
        <w:rPr>
          <w:rFonts w:hint="eastAsia"/>
        </w:rPr>
        <w:t>　第２号被保険者の配偶者は，年収</w:t>
      </w:r>
      <w:r>
        <w:rPr>
          <w:rFonts w:hint="eastAsia"/>
        </w:rPr>
        <w:t>130</w:t>
      </w:r>
      <w:r>
        <w:rPr>
          <w:rFonts w:hint="eastAsia"/>
        </w:rPr>
        <w:t>万円未満のとき第３号被保険者になる。</w:t>
      </w:r>
    </w:p>
    <w:p>
      <w:pPr>
        <w:pStyle w:val="0"/>
        <w:spacing w:line="315" w:lineRule="exact"/>
        <w:ind w:left="429"/>
        <w:rPr>
          <w:rFonts w:hint="default"/>
        </w:rPr>
      </w:pPr>
      <w:r>
        <w:rPr>
          <w:rFonts w:hint="eastAsia"/>
        </w:rPr>
        <w:t>　</w:t>
      </w:r>
      <w:r>
        <w:rPr>
          <w:rFonts w:hint="eastAsia"/>
        </w:rPr>
        <w:t>20</w:t>
      </w:r>
      <w:r>
        <w:rPr>
          <w:rFonts w:hint="eastAsia"/>
        </w:rPr>
        <w:t>歳以上の昼間部大学生は，平成３年４月から強制加入の第１号被保険者となった。</w:t>
      </w:r>
    </w:p>
    <w:p>
      <w:pPr>
        <w:pStyle w:val="0"/>
        <w:spacing w:line="315" w:lineRule="exact"/>
        <w:ind w:left="429"/>
        <w:rPr>
          <w:rFonts w:hint="default"/>
        </w:rPr>
      </w:pPr>
    </w:p>
    <w:p>
      <w:pPr>
        <w:pStyle w:val="0"/>
        <w:spacing w:line="315" w:lineRule="exact"/>
        <w:ind w:left="429"/>
        <w:rPr>
          <w:rFonts w:hint="default"/>
        </w:rPr>
      </w:pPr>
      <w:r>
        <w:rPr>
          <w:rFonts w:hint="eastAsia"/>
        </w:rPr>
        <w:t>（下図参照）</w:t>
      </w:r>
    </w:p>
    <w:p>
      <w:pPr>
        <w:pStyle w:val="0"/>
        <w:spacing w:line="315" w:lineRule="exact"/>
        <w:ind w:left="429"/>
        <w:rPr>
          <w:rFonts w:hint="default"/>
        </w:rPr>
      </w:pPr>
      <w:r>
        <w:rPr>
          <w:rFonts w:hint="eastAsia"/>
        </w:rPr>
        <w:t>　　＜国民年金の被保険者＞</w:t>
      </w:r>
    </w:p>
    <w:tbl>
      <w:tblPr>
        <w:tblStyle w:val="11"/>
        <w:tblW w:w="0" w:type="auto"/>
        <w:tblInd w:w="49" w:type="dxa"/>
        <w:tblLayout w:type="fixed"/>
        <w:tblCellMar>
          <w:left w:w="0" w:type="dxa"/>
          <w:right w:w="0" w:type="dxa"/>
        </w:tblCellMar>
        <w:tblLook w:firstRow="0" w:lastRow="0" w:firstColumn="0" w:lastColumn="0" w:noHBand="0" w:noVBand="0" w:val="0000"/>
      </w:tblPr>
      <w:tblGrid>
        <w:gridCol w:w="1696"/>
        <w:gridCol w:w="318"/>
        <w:gridCol w:w="3286"/>
        <w:gridCol w:w="2014"/>
        <w:gridCol w:w="1166"/>
      </w:tblGrid>
      <w:tr>
        <w:trPr/>
        <w:tc>
          <w:tcPr>
            <w:tcW w:w="2014" w:type="dxa"/>
            <w:gridSpan w:val="2"/>
            <w:vMerge w:val="restart"/>
            <w:tcBorders>
              <w:top w:val="nil"/>
              <w:left w:val="nil"/>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rPr>
                <w:rFonts w:hint="default"/>
              </w:rPr>
            </w:pPr>
          </w:p>
          <w:p>
            <w:pPr>
              <w:pStyle w:val="0"/>
              <w:spacing w:line="310" w:lineRule="exact"/>
              <w:rPr>
                <w:rFonts w:hint="default"/>
              </w:rPr>
            </w:pPr>
            <w:r>
              <w:rPr>
                <w:rFonts w:hint="eastAsia"/>
                <w:spacing w:val="-1"/>
              </w:rPr>
              <w:t xml:space="preserve">  </w:t>
            </w:r>
            <w:r>
              <w:rPr>
                <w:rFonts w:hint="eastAsia"/>
              </w:rPr>
              <w:t>（強制加入）</w:t>
            </w:r>
          </w:p>
          <w:p>
            <w:pPr>
              <w:pStyle w:val="0"/>
              <w:spacing w:line="310" w:lineRule="exact"/>
              <w:jc w:val="center"/>
              <w:rPr>
                <w:rFonts w:hint="default"/>
              </w:rPr>
            </w:pPr>
            <w:r>
              <w:rPr>
                <w:rFonts w:hint="eastAsia"/>
              </w:rPr>
              <w:t>第１号</w:t>
            </w:r>
          </w:p>
        </w:tc>
        <w:tc>
          <w:tcPr>
            <w:tcW w:w="3286" w:type="dxa"/>
            <w:tcBorders>
              <w:top w:val="nil"/>
              <w:left w:val="dashed" w:color="000000" w:sz="4" w:space="0"/>
              <w:bottom w:val="single"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rPr>
                <w:rFonts w:hint="default"/>
              </w:rPr>
            </w:pPr>
            <w:r>
              <w:rPr>
                <w:rFonts w:hint="eastAsia"/>
              </w:rPr>
              <w:t>20</w:t>
            </w:r>
            <w:r>
              <w:rPr>
                <w:rFonts w:hint="eastAsia"/>
              </w:rPr>
              <w:t>歳以上</w:t>
            </w:r>
            <w:r>
              <w:rPr>
                <w:rFonts w:hint="eastAsia"/>
                <w:spacing w:val="-1"/>
              </w:rPr>
              <w:t xml:space="preserve">   </w:t>
            </w:r>
            <w:r>
              <w:rPr>
                <w:rFonts w:hint="eastAsia"/>
              </w:rPr>
              <w:t>　　　</w:t>
            </w:r>
            <w:r>
              <w:rPr>
                <w:rFonts w:hint="eastAsia"/>
                <w:spacing w:val="-1"/>
              </w:rPr>
              <w:t xml:space="preserve">    </w:t>
            </w:r>
            <w:r>
              <w:rPr>
                <w:rFonts w:hint="eastAsia"/>
              </w:rPr>
              <w:t>60</w:t>
            </w:r>
            <w:r>
              <w:rPr>
                <w:rFonts w:hint="eastAsia"/>
              </w:rPr>
              <w:t>歳未満</w:t>
            </w:r>
          </w:p>
          <w:p>
            <w:pPr>
              <w:pStyle w:val="0"/>
              <w:spacing w:line="310" w:lineRule="exact"/>
              <w:rPr>
                <w:rFonts w:hint="default"/>
              </w:rPr>
            </w:pPr>
          </w:p>
        </w:tc>
        <w:tc>
          <w:tcPr>
            <w:tcW w:w="2014" w:type="dxa"/>
            <w:vMerge w:val="restart"/>
            <w:tcBorders>
              <w:top w:val="nil"/>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jc w:val="right"/>
              <w:rPr>
                <w:rFonts w:hint="default"/>
              </w:rPr>
            </w:pPr>
            <w:r>
              <w:rPr>
                <w:rFonts w:hint="eastAsia"/>
              </w:rPr>
              <w:t>65</w:t>
            </w:r>
            <w:r>
              <w:rPr>
                <w:rFonts w:hint="eastAsia"/>
              </w:rPr>
              <w:t>歳未満</w:t>
            </w:r>
          </w:p>
          <w:p>
            <w:pPr>
              <w:pStyle w:val="0"/>
              <w:spacing w:line="310" w:lineRule="exact"/>
              <w:rPr>
                <w:rFonts w:hint="default"/>
              </w:rPr>
            </w:pPr>
          </w:p>
          <w:p>
            <w:pPr>
              <w:pStyle w:val="0"/>
              <w:spacing w:line="310" w:lineRule="exact"/>
              <w:jc w:val="center"/>
              <w:rPr>
                <w:rFonts w:hint="default"/>
              </w:rPr>
            </w:pPr>
          </w:p>
        </w:tc>
        <w:tc>
          <w:tcPr>
            <w:tcW w:w="1166" w:type="dxa"/>
            <w:vMerge w:val="restart"/>
            <w:tcBorders>
              <w:top w:val="nil"/>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jc w:val="right"/>
              <w:rPr>
                <w:rFonts w:hint="default"/>
              </w:rPr>
            </w:pPr>
            <w:r>
              <w:rPr>
                <w:rFonts w:hint="eastAsia"/>
              </w:rPr>
              <w:t>70</w:t>
            </w:r>
            <w:r>
              <w:rPr>
                <w:rFonts w:hint="eastAsia"/>
              </w:rPr>
              <w:t>歳未満</w:t>
            </w:r>
          </w:p>
          <w:p>
            <w:pPr>
              <w:pStyle w:val="0"/>
              <w:spacing w:line="310" w:lineRule="exact"/>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jc w:val="center"/>
              <w:rPr>
                <w:rFonts w:hint="default"/>
              </w:rPr>
            </w:pPr>
          </w:p>
          <w:p>
            <w:pPr>
              <w:pStyle w:val="0"/>
              <w:spacing w:line="310" w:lineRule="exact"/>
              <w:rPr>
                <w:rFonts w:hint="default"/>
              </w:rPr>
            </w:pPr>
          </w:p>
        </w:tc>
      </w:tr>
      <w:tr>
        <w:trPr/>
        <w:tc>
          <w:tcPr>
            <w:tcW w:w="2014" w:type="dxa"/>
            <w:gridSpan w:val="2"/>
            <w:vMerge w:val="continue"/>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3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r>
              <w:rPr>
                <w:rFonts w:hint="eastAsia"/>
              </w:rPr>
              <w:t>国内に住所のある者</w:t>
            </w:r>
          </w:p>
        </w:tc>
        <w:tc>
          <w:tcPr>
            <w:tcW w:w="2014" w:type="dxa"/>
            <w:vMerge w:val="continue"/>
            <w:tcBorders>
              <w:top w:val="nil"/>
              <w:left w:val="single" w:color="000000" w:sz="4" w:space="0"/>
              <w:bottom w:val="single"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tc>
        <w:tc>
          <w:tcPr>
            <w:tcW w:w="1166" w:type="dxa"/>
            <w:vMerge w:val="continue"/>
            <w:tcBorders>
              <w:top w:val="nil"/>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r>
      <w:tr>
        <w:trPr/>
        <w:tc>
          <w:tcPr>
            <w:tcW w:w="1696" w:type="dxa"/>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spacing w:val="-1"/>
              </w:rPr>
              <w:t xml:space="preserve">      </w:t>
            </w:r>
            <w:r>
              <w:rPr>
                <w:rFonts w:hint="eastAsia"/>
              </w:rPr>
              <w:t>第２号</w:t>
            </w:r>
          </w:p>
        </w:tc>
        <w:tc>
          <w:tcPr>
            <w:tcW w:w="5618"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r>
              <w:rPr>
                <w:rFonts w:hint="eastAsia"/>
              </w:rPr>
              <w:t>厚生年金・共済組合の加入者（国内外）</w:t>
            </w:r>
          </w:p>
        </w:tc>
        <w:tc>
          <w:tcPr>
            <w:tcW w:w="1166" w:type="dxa"/>
            <w:vMerge w:val="continue"/>
            <w:tcBorders>
              <w:top w:val="nil"/>
              <w:left w:val="single"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r>
      <w:tr>
        <w:trPr/>
        <w:tc>
          <w:tcPr>
            <w:tcW w:w="2014" w:type="dxa"/>
            <w:gridSpan w:val="2"/>
            <w:vMerge w:val="restart"/>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r>
              <w:rPr>
                <w:rFonts w:hint="eastAsia"/>
              </w:rPr>
              <w:t>第３号</w:t>
            </w:r>
          </w:p>
          <w:p>
            <w:pPr>
              <w:pStyle w:val="0"/>
              <w:spacing w:line="310" w:lineRule="exact"/>
              <w:rPr>
                <w:rFonts w:hint="default"/>
              </w:rPr>
            </w:pPr>
          </w:p>
          <w:p>
            <w:pPr>
              <w:pStyle w:val="0"/>
              <w:spacing w:line="310" w:lineRule="exact"/>
              <w:rPr>
                <w:rFonts w:hint="default"/>
              </w:rPr>
            </w:pPr>
            <w:r>
              <w:rPr>
                <w:rFonts w:hint="eastAsia"/>
                <w:spacing w:val="-1"/>
              </w:rPr>
              <w:t xml:space="preserve">  </w:t>
            </w:r>
            <w:r>
              <w:rPr>
                <w:rFonts w:hint="eastAsia"/>
              </w:rPr>
              <w:t>（任意加入）</w:t>
            </w:r>
          </w:p>
          <w:p>
            <w:pPr>
              <w:pStyle w:val="0"/>
              <w:spacing w:line="310" w:lineRule="exact"/>
              <w:rPr>
                <w:rFonts w:hint="default"/>
              </w:rPr>
            </w:pPr>
            <w:r>
              <w:rPr>
                <w:rFonts w:hint="eastAsia"/>
                <w:spacing w:val="-1"/>
              </w:rPr>
              <w:t xml:space="preserve">      </w:t>
            </w:r>
            <w:r>
              <w:rPr>
                <w:rFonts w:hint="eastAsia"/>
              </w:rPr>
              <w:t>第１号</w:t>
            </w:r>
          </w:p>
          <w:p>
            <w:pPr>
              <w:pStyle w:val="0"/>
              <w:spacing w:line="310" w:lineRule="exact"/>
              <w:jc w:val="center"/>
              <w:rPr>
                <w:rFonts w:hint="default"/>
              </w:rPr>
            </w:pPr>
          </w:p>
          <w:p>
            <w:pPr>
              <w:pStyle w:val="0"/>
              <w:spacing w:line="310" w:lineRule="exact"/>
              <w:rPr>
                <w:rFonts w:hint="default"/>
              </w:rPr>
            </w:pPr>
          </w:p>
        </w:tc>
        <w:tc>
          <w:tcPr>
            <w:tcW w:w="328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r>
              <w:rPr>
                <w:rFonts w:hint="eastAsia"/>
              </w:rPr>
              <w:t>第２号保険者の被扶養配偶者</w:t>
            </w:r>
          </w:p>
        </w:tc>
        <w:tc>
          <w:tcPr>
            <w:tcW w:w="2014" w:type="dxa"/>
            <w:vMerge w:val="restart"/>
            <w:tcBorders>
              <w:top w:val="single" w:color="000000" w:sz="4" w:space="0"/>
              <w:left w:val="single"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p>
            <w:pPr>
              <w:pStyle w:val="0"/>
              <w:spacing w:line="310" w:lineRule="exact"/>
              <w:rPr>
                <w:rFonts w:hint="default"/>
              </w:rPr>
            </w:pPr>
          </w:p>
        </w:tc>
        <w:tc>
          <w:tcPr>
            <w:tcW w:w="1166" w:type="dxa"/>
            <w:vMerge w:val="continue"/>
            <w:tcBorders>
              <w:top w:val="nil"/>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r>
      <w:tr>
        <w:trPr>
          <w:trHeight w:val="350" w:hRule="atLeast"/>
        </w:trPr>
        <w:tc>
          <w:tcPr>
            <w:tcW w:w="2014" w:type="dxa"/>
            <w:gridSpan w:val="2"/>
            <w:vMerge w:val="continue"/>
            <w:tcBorders>
              <w:top w:val="nil"/>
              <w:left w:val="nil"/>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3286" w:type="dxa"/>
            <w:vMerge w:val="restart"/>
            <w:tcBorders>
              <w:top w:val="single" w:color="000000" w:sz="4" w:space="0"/>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rPr>
                <w:rFonts w:hint="default"/>
              </w:rPr>
            </w:pPr>
          </w:p>
          <w:p>
            <w:pPr>
              <w:pStyle w:val="0"/>
              <w:spacing w:line="310" w:lineRule="exact"/>
              <w:rPr>
                <w:rFonts w:hint="default"/>
              </w:rPr>
            </w:pPr>
          </w:p>
        </w:tc>
        <w:tc>
          <w:tcPr>
            <w:tcW w:w="2014" w:type="dxa"/>
            <w:vMerge w:val="continue"/>
            <w:tcBorders>
              <w:top w:val="nil"/>
              <w:left w:val="dashed" w:color="000000" w:sz="4" w:space="0"/>
              <w:bottom w:val="single"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1166" w:type="dxa"/>
            <w:vMerge w:val="continue"/>
            <w:tcBorders>
              <w:top w:val="nil"/>
              <w:left w:val="dashed" w:color="000000" w:sz="4" w:space="0"/>
              <w:bottom w:val="dashed"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r>
      <w:tr>
        <w:trPr/>
        <w:tc>
          <w:tcPr>
            <w:tcW w:w="2014" w:type="dxa"/>
            <w:gridSpan w:val="2"/>
            <w:vMerge w:val="continue"/>
            <w:tcBorders>
              <w:top w:val="nil"/>
              <w:left w:val="nil"/>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3286" w:type="dxa"/>
            <w:vMerge w:val="continue"/>
            <w:tcBorders>
              <w:top w:val="nil"/>
              <w:left w:val="dashed"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2014" w:type="dxa"/>
            <w:tcBorders>
              <w:top w:val="single" w:color="000000" w:sz="4" w:space="0"/>
              <w:left w:val="single" w:color="000000" w:sz="4" w:space="0"/>
              <w:bottom w:val="single"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r>
              <w:rPr>
                <w:rFonts w:hint="eastAsia"/>
              </w:rPr>
              <w:t>老齢年金受給資格期間に満たない人</w:t>
            </w:r>
          </w:p>
        </w:tc>
        <w:tc>
          <w:tcPr>
            <w:tcW w:w="1166" w:type="dxa"/>
            <w:tcBorders>
              <w:top w:val="dashed" w:color="000000" w:sz="4" w:space="0"/>
              <w:left w:val="dashed" w:color="000000" w:sz="4" w:space="0"/>
              <w:bottom w:val="dashed" w:color="000000" w:sz="4" w:space="0"/>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p>
            <w:pPr>
              <w:pStyle w:val="0"/>
              <w:spacing w:line="310" w:lineRule="exact"/>
              <w:rPr>
                <w:rFonts w:hint="default"/>
              </w:rPr>
            </w:pPr>
          </w:p>
        </w:tc>
      </w:tr>
      <w:tr>
        <w:trPr/>
        <w:tc>
          <w:tcPr>
            <w:tcW w:w="2014" w:type="dxa"/>
            <w:gridSpan w:val="2"/>
            <w:vMerge w:val="continue"/>
            <w:tcBorders>
              <w:top w:val="nil"/>
              <w:left w:val="nil"/>
              <w:bottom w:val="nil"/>
              <w:right w:val="single"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5300"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r>
              <w:rPr>
                <w:rFonts w:hint="eastAsia"/>
              </w:rPr>
              <w:t>海外在住の第１号被保険者</w:t>
            </w:r>
          </w:p>
        </w:tc>
        <w:tc>
          <w:tcPr>
            <w:tcW w:w="1166" w:type="dxa"/>
            <w:vMerge w:val="restart"/>
            <w:tcBorders>
              <w:top w:val="dashed" w:color="000000" w:sz="4" w:space="0"/>
              <w:left w:val="single"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jc w:val="center"/>
              <w:rPr>
                <w:rFonts w:hint="default"/>
              </w:rPr>
            </w:pPr>
          </w:p>
          <w:p>
            <w:pPr>
              <w:pStyle w:val="0"/>
              <w:spacing w:line="310" w:lineRule="exact"/>
              <w:rPr>
                <w:rFonts w:hint="default"/>
              </w:rPr>
            </w:pPr>
          </w:p>
        </w:tc>
      </w:tr>
      <w:tr>
        <w:trPr/>
        <w:tc>
          <w:tcPr>
            <w:tcW w:w="2014" w:type="dxa"/>
            <w:gridSpan w:val="2"/>
            <w:vMerge w:val="continue"/>
            <w:tcBorders>
              <w:top w:val="nil"/>
              <w:left w:val="nil"/>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3286" w:type="dxa"/>
            <w:tcBorders>
              <w:top w:val="single" w:color="000000" w:sz="4" w:space="0"/>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2014" w:type="dxa"/>
            <w:tcBorders>
              <w:top w:val="single" w:color="000000" w:sz="4" w:space="0"/>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c>
          <w:tcPr>
            <w:tcW w:w="1166" w:type="dxa"/>
            <w:vMerge w:val="continue"/>
            <w:tcBorders>
              <w:top w:val="nil"/>
              <w:left w:val="dashed" w:color="000000" w:sz="4" w:space="0"/>
              <w:bottom w:val="nil"/>
              <w:right w:val="dashed" w:color="000000" w:sz="4" w:space="0"/>
              <w:tl2br w:val="none" w:color="auto" w:sz="0" w:space="0"/>
              <w:tr2bl w:val="none" w:color="auto" w:sz="0" w:space="0"/>
            </w:tcBorders>
            <w:tcMar>
              <w:left w:w="49" w:type="dxa"/>
              <w:right w:w="49" w:type="dxa"/>
            </w:tcMar>
            <w:vAlign w:val="top"/>
          </w:tcPr>
          <w:p>
            <w:pPr>
              <w:pStyle w:val="0"/>
              <w:spacing w:line="310" w:lineRule="exact"/>
              <w:rPr>
                <w:rFonts w:hint="default"/>
              </w:rPr>
            </w:pPr>
          </w:p>
        </w:tc>
      </w:tr>
    </w:tbl>
    <w:p>
      <w:pPr>
        <w:pStyle w:val="0"/>
        <w:rPr>
          <w:rFonts w:hint="default" w:ascii="ＭＳ ゴシック" w:hAnsi="ＭＳ ゴシック" w:eastAsia="ＭＳ ゴシック"/>
        </w:rPr>
      </w:pPr>
    </w:p>
    <w:p>
      <w:pPr>
        <w:pStyle w:val="0"/>
        <w:rPr>
          <w:rFonts w:hint="default"/>
        </w:rPr>
      </w:pPr>
      <w:r>
        <w:rPr>
          <w:rFonts w:hint="eastAsia" w:ascii="ＭＳ ゴシック" w:hAnsi="ＭＳ ゴシック" w:eastAsia="ＭＳ ゴシック"/>
        </w:rPr>
        <w:t>個人情報保護法</w:t>
      </w:r>
    </w:p>
    <w:p>
      <w:pPr>
        <w:pStyle w:val="0"/>
        <w:ind w:left="429"/>
        <w:rPr>
          <w:rFonts w:hint="default"/>
        </w:rPr>
      </w:pPr>
      <w:r>
        <w:rPr>
          <w:rFonts w:hint="eastAsia"/>
        </w:rPr>
        <w:t>　この法律は，個人情報の適正な取扱いが実現されるよう，行政に対して必要な措置を求めているほか，一定以上の件数の個人情報を体系的・継続的に保有する事業者に対し，取得や保存・利用に関する義務や，違反時の罰則などを定めている。また，民間の個人情報保護団体の認定条件や行動指針等も定められている。</w:t>
      </w:r>
    </w:p>
    <w:p>
      <w:pPr>
        <w:pStyle w:val="0"/>
        <w:ind w:left="429"/>
        <w:rPr>
          <w:rFonts w:hint="default"/>
        </w:rPr>
      </w:pPr>
      <w:r>
        <w:rPr>
          <w:rFonts w:hint="eastAsia"/>
        </w:rPr>
        <w:t>　個人情報には氏名や住所，電話番号，生年月日などの基本的な情報のほか，顔写真やメールアドレス，ＩＤなど，他の情報と組み合わせれば個人を識別・特定できる情報やデータが含まれている。</w:t>
      </w:r>
    </w:p>
    <w:p>
      <w:pPr>
        <w:pStyle w:val="0"/>
        <w:rPr>
          <w:rFonts w:hint="default"/>
        </w:rPr>
      </w:pPr>
    </w:p>
    <w:p>
      <w:pPr>
        <w:pStyle w:val="0"/>
        <w:rPr>
          <w:rFonts w:hint="default" w:asciiTheme="majorEastAsia" w:hAnsiTheme="majorEastAsia" w:eastAsiaTheme="majorEastAsia"/>
        </w:rPr>
      </w:pPr>
      <w:r>
        <w:rPr>
          <w:rFonts w:hint="eastAsia" w:asciiTheme="majorEastAsia" w:hAnsiTheme="majorEastAsia" w:eastAsiaTheme="majorEastAsia"/>
        </w:rPr>
        <w:t>こども基本法</w:t>
      </w:r>
    </w:p>
    <w:p>
      <w:pPr>
        <w:pStyle w:val="0"/>
        <w:rPr>
          <w:rFonts w:hint="default"/>
        </w:rPr>
      </w:pPr>
      <w:r>
        <w:rPr>
          <w:rFonts w:hint="eastAsia"/>
        </w:rPr>
        <w:t>　こども施策を総合的に推進することを目的として制定された法律である。子どもを権利の主体として位置づけ，日本国憲法及び子どもの権利条約で定められた権利を総合的に保障している。また，施策に対する当事者らの意見反映や，関係者相互の有機的な連携の確保などを基本的施策として提示している。令和４年６月に成立し，令和５年４月から施行される。</w:t>
      </w:r>
    </w:p>
    <w:p>
      <w:pPr>
        <w:pStyle w:val="0"/>
        <w:rPr>
          <w:rFonts w:hint="default"/>
        </w:rPr>
      </w:pPr>
    </w:p>
    <w:p>
      <w:pPr>
        <w:pStyle w:val="0"/>
        <w:rPr>
          <w:rFonts w:hint="default"/>
        </w:rPr>
      </w:pPr>
      <w:r>
        <w:rPr>
          <w:rFonts w:hint="eastAsia" w:ascii="ＭＳ ゴシック" w:hAnsi="ＭＳ ゴシック" w:eastAsia="ＭＳ ゴシック"/>
        </w:rPr>
        <w:t>国家賠償法</w:t>
      </w:r>
    </w:p>
    <w:p>
      <w:pPr>
        <w:pStyle w:val="0"/>
        <w:ind w:left="429" w:hanging="429"/>
        <w:rPr>
          <w:rFonts w:hint="default"/>
        </w:rPr>
      </w:pPr>
      <w:r>
        <w:rPr>
          <w:rFonts w:hint="eastAsia"/>
          <w:spacing w:val="-1"/>
        </w:rPr>
        <w:t xml:space="preserve">      </w:t>
      </w:r>
      <w:r>
        <w:rPr>
          <w:rFonts w:hint="eastAsia"/>
        </w:rPr>
        <w:t>制定は昭和</w:t>
      </w:r>
      <w:r>
        <w:rPr>
          <w:rFonts w:hint="eastAsia"/>
        </w:rPr>
        <w:t>22</w:t>
      </w:r>
      <w:r>
        <w:rPr>
          <w:rFonts w:hint="eastAsia"/>
        </w:rPr>
        <w:t>年である。この法律は日本国憲法第</w:t>
      </w:r>
      <w:r>
        <w:rPr>
          <w:rFonts w:hint="eastAsia"/>
        </w:rPr>
        <w:t>17</w:t>
      </w:r>
      <w:r>
        <w:rPr>
          <w:rFonts w:hint="eastAsia"/>
        </w:rPr>
        <w:t>条「何人も，公務員の不正行為により，損害を受けたときは，法律の定めるところにより，国又は公共団体に，その賠償を求めることができる。」の条文に基づいて制定された。</w:t>
      </w:r>
    </w:p>
    <w:p>
      <w:pPr>
        <w:pStyle w:val="0"/>
        <w:rPr>
          <w:rFonts w:hint="default"/>
        </w:rPr>
      </w:pPr>
    </w:p>
    <w:p>
      <w:pPr>
        <w:pStyle w:val="0"/>
        <w:rPr>
          <w:rFonts w:hint="default"/>
        </w:rPr>
      </w:pPr>
      <w:r>
        <w:rPr>
          <w:rFonts w:hint="eastAsia" w:ascii="ＭＳ ゴシック" w:hAnsi="ＭＳ ゴシック" w:eastAsia="ＭＳ ゴシック"/>
        </w:rPr>
        <w:t>国庫負担金</w:t>
      </w:r>
    </w:p>
    <w:p>
      <w:pPr>
        <w:pStyle w:val="0"/>
        <w:ind w:left="429"/>
        <w:rPr>
          <w:rFonts w:hint="default"/>
        </w:rPr>
      </w:pPr>
      <w:r>
        <w:rPr>
          <w:rFonts w:hint="eastAsia"/>
          <w:spacing w:val="-1"/>
        </w:rPr>
        <w:t xml:space="preserve">  </w:t>
      </w:r>
      <w:r>
        <w:rPr>
          <w:rFonts w:hint="eastAsia"/>
        </w:rPr>
        <w:t>地方公共団体が法令に基づいて実施しなければならない事務で，国と地方公共団体相互に利害関係のある事務に要する経費について，国が経費の全部又は一部を負担する必要のあるものをいう。</w:t>
      </w:r>
    </w:p>
    <w:p>
      <w:pPr>
        <w:pStyle w:val="0"/>
        <w:ind w:left="429"/>
        <w:rPr>
          <w:rFonts w:hint="default"/>
        </w:rPr>
      </w:pPr>
      <w:r>
        <w:rPr>
          <w:rFonts w:hint="eastAsia"/>
        </w:rPr>
        <w:t>　教育に関するものとしては，義務教育費国庫負担法に基づく教職員の給与費の支出，学校設備国庫負担法に基づく校舎の新増築等があげられる。</w:t>
      </w:r>
    </w:p>
    <w:p>
      <w:pPr>
        <w:pStyle w:val="0"/>
        <w:rPr>
          <w:rFonts w:hint="default"/>
        </w:rPr>
      </w:pPr>
    </w:p>
    <w:p>
      <w:pPr>
        <w:pStyle w:val="0"/>
        <w:rPr>
          <w:rFonts w:hint="default"/>
        </w:rPr>
      </w:pPr>
      <w:r>
        <w:rPr>
          <w:rFonts w:hint="eastAsia" w:ascii="ＭＳ ゴシック" w:hAnsi="ＭＳ ゴシック" w:eastAsia="ＭＳ ゴシック"/>
        </w:rPr>
        <w:t>国庫補助金</w:t>
      </w:r>
    </w:p>
    <w:p>
      <w:pPr>
        <w:pStyle w:val="0"/>
        <w:ind w:left="429"/>
        <w:rPr>
          <w:rFonts w:hint="default"/>
        </w:rPr>
      </w:pPr>
      <w:r>
        <w:rPr>
          <w:rFonts w:hint="eastAsia"/>
        </w:rPr>
        <w:t>　国が施策を行うため特別の必要があると認められるとき，また，地方公共団体の財政上の特別の必要があるときに限り，当該団体に交付するものをいう。</w:t>
      </w:r>
    </w:p>
    <w:p>
      <w:pPr>
        <w:pStyle w:val="0"/>
        <w:ind w:left="429"/>
        <w:rPr>
          <w:rFonts w:hint="default"/>
        </w:rPr>
      </w:pPr>
    </w:p>
    <w:p>
      <w:pPr>
        <w:pStyle w:val="0"/>
        <w:rPr>
          <w:rFonts w:hint="default"/>
        </w:rPr>
      </w:pPr>
      <w:r>
        <w:rPr>
          <w:rFonts w:hint="eastAsia" w:ascii="ＭＳ ゴシック" w:hAnsi="ＭＳ ゴシック" w:eastAsia="ＭＳ ゴシック"/>
        </w:rPr>
        <w:t>コンプライアンス（</w:t>
      </w:r>
      <w:r>
        <w:rPr>
          <w:rFonts w:hint="eastAsia" w:ascii="ＭＳ ゴシック" w:hAnsi="ＭＳ ゴシック" w:eastAsia="ＭＳ ゴシック"/>
        </w:rPr>
        <w:t>Compliance</w:t>
      </w:r>
      <w:r>
        <w:rPr>
          <w:rFonts w:hint="eastAsia" w:ascii="ＭＳ ゴシック" w:hAnsi="ＭＳ ゴシック" w:eastAsia="ＭＳ ゴシック"/>
        </w:rPr>
        <w:t>）</w:t>
      </w:r>
      <w:r>
        <w:rPr>
          <w:rFonts w:hint="eastAsia" w:ascii="ＭＳ ゴシック" w:hAnsi="ＭＳ ゴシック" w:eastAsia="ＭＳ ゴシック"/>
          <w:spacing w:val="-1"/>
        </w:rPr>
        <w:t xml:space="preserve"> </w:t>
      </w:r>
    </w:p>
    <w:p>
      <w:pPr>
        <w:pStyle w:val="0"/>
        <w:ind w:left="429"/>
        <w:rPr>
          <w:rFonts w:hint="default"/>
        </w:rPr>
      </w:pPr>
      <w:r>
        <w:rPr>
          <w:rFonts w:hint="eastAsia"/>
        </w:rPr>
        <w:t>　法令遵守のことで，法律や社会的な常識・通念を厳密に守ること。一般には民間企業の監督官庁に対する贈賄や反社会的勢力との接触を禁止することを指す。</w:t>
      </w:r>
    </w:p>
    <w:p>
      <w:pPr>
        <w:pStyle w:val="0"/>
        <w:ind w:left="429"/>
        <w:rPr>
          <w:rFonts w:hint="default"/>
        </w:rPr>
      </w:pPr>
    </w:p>
    <w:p>
      <w:pPr>
        <w:pStyle w:val="0"/>
        <w:rPr>
          <w:rFonts w:hint="default"/>
        </w:rPr>
      </w:pPr>
      <w:r>
        <w:rPr>
          <w:rFonts w:hint="eastAsia" w:ascii="ＭＳ ゴシック" w:hAnsi="ＭＳ ゴシック" w:eastAsia="ＭＳ ゴシック"/>
        </w:rPr>
        <w:t>＜サ行＞</w:t>
      </w:r>
    </w:p>
    <w:p>
      <w:pPr>
        <w:pStyle w:val="0"/>
        <w:rPr>
          <w:rFonts w:hint="default"/>
        </w:rPr>
      </w:pPr>
      <w:r>
        <w:rPr>
          <w:rFonts w:hint="eastAsia" w:ascii="ＭＳ ゴシック" w:hAnsi="ＭＳ ゴシック" w:eastAsia="ＭＳ ゴシック"/>
        </w:rPr>
        <w:t>資金前渡職員</w:t>
      </w:r>
    </w:p>
    <w:p>
      <w:pPr>
        <w:pStyle w:val="0"/>
        <w:ind w:left="429"/>
        <w:rPr>
          <w:rFonts w:hint="default"/>
        </w:rPr>
      </w:pPr>
      <w:r>
        <w:rPr>
          <w:rFonts w:hint="eastAsia"/>
        </w:rPr>
        <w:t>　学校に配当されている公費，給与・旅費等の資金を前渡しする代表職員をいう。小中学校では，学校長及び事務長が任命されている。</w:t>
      </w:r>
    </w:p>
    <w:p>
      <w:pPr>
        <w:pStyle w:val="0"/>
        <w:rPr>
          <w:rFonts w:hint="default"/>
        </w:rPr>
      </w:pPr>
    </w:p>
    <w:p>
      <w:pPr>
        <w:pStyle w:val="0"/>
        <w:rPr>
          <w:rFonts w:hint="default"/>
        </w:rPr>
      </w:pPr>
      <w:r>
        <w:rPr>
          <w:rFonts w:hint="eastAsia" w:ascii="ＭＳ ゴシック" w:hAnsi="ＭＳ ゴシック" w:eastAsia="ＭＳ ゴシック"/>
        </w:rPr>
        <w:t>悉皆研修（しっかいけんしゅう）</w:t>
      </w:r>
    </w:p>
    <w:p>
      <w:pPr>
        <w:pStyle w:val="0"/>
        <w:ind w:left="429"/>
        <w:rPr>
          <w:rFonts w:hint="default"/>
        </w:rPr>
      </w:pPr>
      <w:r>
        <w:rPr>
          <w:rFonts w:hint="eastAsia"/>
        </w:rPr>
        <w:t>　職員として必ず受講しなければならない義務を負った強制的な研修。</w:t>
      </w:r>
    </w:p>
    <w:p>
      <w:pPr>
        <w:pStyle w:val="0"/>
        <w:rPr>
          <w:rFonts w:hint="default"/>
        </w:rPr>
      </w:pPr>
      <w:r>
        <w:rPr>
          <w:rFonts w:hint="eastAsia" w:ascii="ＭＳ ゴシック" w:hAnsi="ＭＳ ゴシック" w:eastAsia="ＭＳ ゴシック"/>
        </w:rPr>
        <w:t>住民税</w:t>
      </w:r>
    </w:p>
    <w:p>
      <w:pPr>
        <w:pStyle w:val="0"/>
        <w:ind w:left="429"/>
        <w:rPr>
          <w:rFonts w:hint="default"/>
        </w:rPr>
      </w:pPr>
      <w:r>
        <w:rPr>
          <w:rFonts w:hint="eastAsia"/>
        </w:rPr>
        <w:t>　市町村民税と都道府県民税とを併せて，一般に「住民税」とよんでいる。個人住民税は，均等割（定額）と所得割（所得金額を基礎とする）からなり，普通徴収方式（給与所得者については特別徴収方式）がとられている。また，市町村民税と都道府県民税とは，市町村において併せて徴収している。法人住民税は，均等割（定額）と法人税割（法人税額を基礎とする）からなり，法人税の場合に準ずる申告納付方式がとられている。</w:t>
      </w:r>
    </w:p>
    <w:p>
      <w:pPr>
        <w:pStyle w:val="0"/>
        <w:rPr>
          <w:rFonts w:hint="default"/>
        </w:rPr>
      </w:pPr>
    </w:p>
    <w:p>
      <w:pPr>
        <w:pStyle w:val="0"/>
        <w:rPr>
          <w:rFonts w:hint="default"/>
        </w:rPr>
      </w:pPr>
      <w:r>
        <w:rPr>
          <w:rFonts w:hint="eastAsia" w:ascii="ＭＳ ゴシック" w:hAnsi="ＭＳ ゴシック" w:eastAsia="ＭＳ ゴシック"/>
        </w:rPr>
        <w:t>承認研修（職専免研修）</w:t>
      </w:r>
    </w:p>
    <w:p>
      <w:pPr>
        <w:pStyle w:val="0"/>
        <w:rPr>
          <w:rFonts w:hint="default"/>
        </w:rPr>
      </w:pPr>
      <w:r>
        <w:rPr>
          <w:rFonts w:hint="eastAsia"/>
        </w:rPr>
        <w:t>　　　教育公務員特例法第</w:t>
      </w:r>
      <w:r>
        <w:rPr>
          <w:rFonts w:hint="eastAsia"/>
        </w:rPr>
        <w:t>22</w:t>
      </w:r>
      <w:r>
        <w:rPr>
          <w:rFonts w:hint="eastAsia"/>
        </w:rPr>
        <w:t>条第２項に基づく研修</w:t>
      </w: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337185</wp:posOffset>
                </wp:positionH>
                <wp:positionV relativeFrom="paragraph">
                  <wp:posOffset>14605</wp:posOffset>
                </wp:positionV>
                <wp:extent cx="5471795" cy="647700"/>
                <wp:effectExtent l="635" t="635" r="29845" b="10795"/>
                <wp:wrapNone/>
                <wp:docPr id="1026" name="角丸四角形 1"/>
                <a:graphic xmlns:a="http://schemas.openxmlformats.org/drawingml/2006/main">
                  <a:graphicData uri="http://schemas.microsoft.com/office/word/2010/wordprocessingShape">
                    <wps:wsp>
                      <wps:cNvPr id="1026" name="角丸四角形 1"/>
                      <wps:cNvSpPr/>
                      <wps:spPr>
                        <a:xfrm>
                          <a:off x="0" y="0"/>
                          <a:ext cx="5471795" cy="6477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角丸四角形 1" style="mso-wrap-distance-right:9pt;mso-wrap-distance-bottom:0pt;margin-top:1.1399999999999999pt;mso-position-vertical-relative:text;mso-position-horizontal-relative:text;position:absolute;height:51pt;mso-wrap-distance-top:0pt;width:430.85pt;mso-wrap-distance-left:9pt;margin-left:26.55pt;z-index:2;" o:spid="_x0000_s1026" o:allowincell="t" o:allowoverlap="t" filled="f" stroked="t" strokecolor="#000000 [3213]" strokeweight="1pt" o:spt="2" arcsize="10923f">
                <v:fill/>
                <v:stroke linestyle="single" miterlimit="8" endcap="flat" dashstyle="solid" filltype="solid"/>
                <v:textbox style="layout-flow:horizontal;"/>
                <v:imagedata o:title=""/>
                <w10:wrap type="none" anchorx="text" anchory="text"/>
              </v:roundrect>
            </w:pict>
          </mc:Fallback>
        </mc:AlternateContent>
      </w:r>
      <w:r>
        <w:rPr>
          <w:rFonts w:hint="eastAsia"/>
        </w:rPr>
        <w:t>　　　　第</w:t>
      </w:r>
      <w:r>
        <w:rPr>
          <w:rFonts w:hint="eastAsia"/>
        </w:rPr>
        <w:t>22</w:t>
      </w:r>
      <w:r>
        <w:rPr>
          <w:rFonts w:hint="eastAsia"/>
        </w:rPr>
        <w:t>条　教育公務員には，研修を受ける機会が与えられなければならない。</w:t>
      </w:r>
    </w:p>
    <w:p>
      <w:pPr>
        <w:pStyle w:val="0"/>
        <w:ind w:left="643" w:leftChars="300" w:right="565" w:rightChars="264"/>
        <w:rPr>
          <w:rFonts w:hint="default"/>
        </w:rPr>
      </w:pPr>
      <w:r>
        <w:rPr>
          <w:rFonts w:hint="eastAsia"/>
          <w:spacing w:val="-1"/>
        </w:rPr>
        <w:t xml:space="preserve"> </w:t>
      </w:r>
      <w:r>
        <w:rPr>
          <w:rFonts w:hint="default"/>
          <w:spacing w:val="-1"/>
        </w:rPr>
        <w:t xml:space="preserve"> </w:t>
      </w:r>
      <w:r>
        <w:rPr>
          <w:rFonts w:hint="eastAsia"/>
        </w:rPr>
        <w:t>２　教員は，授業に支障のない限り，本属長の承認を受けて，勤務場所を離れて研修を行うことができる。</w:t>
      </w:r>
    </w:p>
    <w:p>
      <w:pPr>
        <w:pStyle w:val="0"/>
        <w:rPr>
          <w:rFonts w:hint="default"/>
        </w:rPr>
      </w:pPr>
    </w:p>
    <w:p>
      <w:pPr>
        <w:pStyle w:val="0"/>
        <w:rPr>
          <w:rFonts w:hint="default"/>
        </w:rPr>
      </w:pPr>
      <w:r>
        <w:rPr>
          <w:rFonts w:hint="eastAsia" w:ascii="ＭＳ ゴシック" w:hAnsi="ＭＳ ゴシック" w:eastAsia="ＭＳ ゴシック"/>
        </w:rPr>
        <w:t>少人数指導</w:t>
      </w:r>
    </w:p>
    <w:p>
      <w:pPr>
        <w:pStyle w:val="0"/>
        <w:ind w:left="429"/>
        <w:rPr>
          <w:rFonts w:hint="default"/>
        </w:rPr>
      </w:pPr>
      <w:r>
        <w:rPr>
          <w:rFonts w:hint="eastAsia"/>
        </w:rPr>
        <w:t>　例として，１学級を２つの学習集団に分割し，２人の教員でそれぞれ指導を行うといったように，学級の枠をはず</w:t>
      </w:r>
      <w:r>
        <w:rPr>
          <w:rFonts w:hint="eastAsia"/>
          <w:color w:val="auto"/>
        </w:rPr>
        <w:t>し，少人数の学習集団を編制し，きめ細かな指導</w:t>
      </w:r>
      <w:r>
        <w:rPr>
          <w:rFonts w:hint="eastAsia"/>
        </w:rPr>
        <w:t>を行うこと。</w:t>
      </w:r>
    </w:p>
    <w:p>
      <w:pPr>
        <w:pStyle w:val="0"/>
        <w:rPr>
          <w:rFonts w:hint="default"/>
        </w:rPr>
      </w:pPr>
    </w:p>
    <w:p>
      <w:pPr>
        <w:pStyle w:val="0"/>
        <w:rPr>
          <w:rFonts w:hint="default"/>
        </w:rPr>
      </w:pPr>
      <w:r>
        <w:rPr>
          <w:rFonts w:hint="eastAsia" w:ascii="ＭＳ ゴシック" w:hAnsi="ＭＳ ゴシック" w:eastAsia="ＭＳ ゴシック"/>
        </w:rPr>
        <w:t>「少年」と「児童」「年少者」</w:t>
      </w:r>
    </w:p>
    <w:p>
      <w:pPr>
        <w:pStyle w:val="0"/>
        <w:ind w:left="429" w:right="-1"/>
        <w:rPr>
          <w:rFonts w:hint="default"/>
        </w:rPr>
      </w:pPr>
      <w:r>
        <w:rPr>
          <w:rFonts w:hint="eastAsia"/>
        </w:rPr>
        <w:t xml:space="preserve">  </w:t>
      </w:r>
      <w:r>
        <w:rPr>
          <w:rFonts w:hint="eastAsia"/>
        </w:rPr>
        <w:t>それぞれ年齢の低い者をさす言葉である。法律によって表現される年齢の範囲が異なるので留意する。</w:t>
      </w:r>
    </w:p>
    <w:p>
      <w:pPr>
        <w:pStyle w:val="0"/>
        <w:ind w:left="429" w:right="-143"/>
        <w:rPr>
          <w:rFonts w:hint="default"/>
        </w:rPr>
      </w:pPr>
      <w:r>
        <w:rPr>
          <w:rFonts w:hint="eastAsia"/>
        </w:rPr>
        <w:t>　たとえば，「少年」とは，少年法では</w:t>
      </w:r>
      <w:r>
        <w:rPr>
          <w:rFonts w:hint="eastAsia"/>
        </w:rPr>
        <w:t>20</w:t>
      </w:r>
      <w:r>
        <w:rPr>
          <w:rFonts w:hint="eastAsia"/>
        </w:rPr>
        <w:t>歳に満たない者をいい（２条），児童福祉法では小学校就学の始期から</w:t>
      </w:r>
      <w:r>
        <w:rPr>
          <w:rFonts w:hint="eastAsia"/>
        </w:rPr>
        <w:t>18</w:t>
      </w:r>
      <w:r>
        <w:rPr>
          <w:rFonts w:hint="eastAsia"/>
        </w:rPr>
        <w:t>歳に達するまでの者をいう（４条）。「児童」とは，児童福祉法では</w:t>
      </w:r>
      <w:r>
        <w:rPr>
          <w:rFonts w:hint="eastAsia"/>
        </w:rPr>
        <w:t>18</w:t>
      </w:r>
      <w:r>
        <w:rPr>
          <w:rFonts w:hint="eastAsia"/>
        </w:rPr>
        <w:t>歳に満たない者をいうが（４条），労働基準法では</w:t>
      </w:r>
      <w:r>
        <w:rPr>
          <w:rFonts w:hint="eastAsia"/>
        </w:rPr>
        <w:t>15</w:t>
      </w:r>
      <w:r>
        <w:rPr>
          <w:rFonts w:hint="eastAsia"/>
        </w:rPr>
        <w:t>歳に満たない者をさす。また，学校教育法では小学校に就学している者をいい（</w:t>
      </w:r>
      <w:r>
        <w:rPr>
          <w:rFonts w:hint="eastAsia"/>
        </w:rPr>
        <w:t>26</w:t>
      </w:r>
      <w:r>
        <w:rPr>
          <w:rFonts w:hint="eastAsia"/>
        </w:rPr>
        <w:t>条），母子福祉法では</w:t>
      </w:r>
      <w:r>
        <w:rPr>
          <w:rFonts w:hint="eastAsia"/>
        </w:rPr>
        <w:t>20</w:t>
      </w:r>
      <w:r>
        <w:rPr>
          <w:rFonts w:hint="eastAsia"/>
        </w:rPr>
        <w:t>歳未満の者までをさす（５条）。「年少者」とは，労働基準法では</w:t>
      </w:r>
      <w:r>
        <w:rPr>
          <w:rFonts w:hint="eastAsia"/>
        </w:rPr>
        <w:t>18</w:t>
      </w:r>
      <w:r>
        <w:rPr>
          <w:rFonts w:hint="eastAsia"/>
        </w:rPr>
        <w:t>歳に満たない者と定めてある。</w:t>
      </w:r>
    </w:p>
    <w:p>
      <w:pPr>
        <w:pStyle w:val="0"/>
        <w:rPr>
          <w:rFonts w:hint="default"/>
        </w:rPr>
      </w:pPr>
    </w:p>
    <w:p>
      <w:pPr>
        <w:pStyle w:val="0"/>
        <w:rPr>
          <w:rFonts w:hint="default"/>
        </w:rPr>
      </w:pPr>
      <w:r>
        <w:rPr>
          <w:rFonts w:hint="eastAsia" w:ascii="ＭＳ ゴシック" w:hAnsi="ＭＳ ゴシック" w:eastAsia="ＭＳ ゴシック"/>
        </w:rPr>
        <w:t>情報リテラシー（</w:t>
      </w:r>
      <w:r>
        <w:rPr>
          <w:rFonts w:hint="eastAsia" w:ascii="ＭＳ ゴシック" w:hAnsi="ＭＳ ゴシック" w:eastAsia="ＭＳ ゴシック"/>
        </w:rPr>
        <w:t>Information</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literacy</w:t>
      </w:r>
      <w:r>
        <w:rPr>
          <w:rFonts w:hint="eastAsia" w:ascii="ＭＳ ゴシック" w:hAnsi="ＭＳ ゴシック" w:eastAsia="ＭＳ ゴシック"/>
        </w:rPr>
        <w:t>）</w:t>
      </w:r>
    </w:p>
    <w:p>
      <w:pPr>
        <w:pStyle w:val="0"/>
        <w:ind w:left="429"/>
        <w:rPr>
          <w:rFonts w:hint="default"/>
        </w:rPr>
      </w:pPr>
      <w:r>
        <w:rPr>
          <w:rFonts w:hint="eastAsia"/>
        </w:rPr>
        <w:t>　高度情報化社会に対応するために必要なパソコン活用能力，ネットワーク活用能力及びそれらを使いこなして意思伝達する能力の総体のこと。</w:t>
      </w:r>
    </w:p>
    <w:p>
      <w:pPr>
        <w:pStyle w:val="0"/>
        <w:rPr>
          <w:rFonts w:hint="default"/>
        </w:rPr>
      </w:pPr>
    </w:p>
    <w:p>
      <w:pPr>
        <w:pStyle w:val="0"/>
        <w:rPr>
          <w:rFonts w:hint="default"/>
        </w:rPr>
      </w:pPr>
      <w:r>
        <w:rPr>
          <w:rFonts w:hint="eastAsia" w:ascii="ＭＳ ゴシック" w:hAnsi="ＭＳ ゴシック" w:eastAsia="ＭＳ ゴシック"/>
        </w:rPr>
        <w:t>条　　例</w:t>
      </w:r>
    </w:p>
    <w:p>
      <w:pPr>
        <w:pStyle w:val="0"/>
        <w:ind w:left="429"/>
        <w:rPr>
          <w:rFonts w:hint="default"/>
        </w:rPr>
      </w:pPr>
      <w:r>
        <w:rPr>
          <w:rFonts w:hint="eastAsia"/>
        </w:rPr>
        <w:t>　条例は国の法律に対応する，自治体の議会で制定される基本的な法規である。住民の生活を拘束する重要な事項は規則，内規等で規制できず，必ず条例によらなければならない。それには以下のものがある。</w:t>
      </w:r>
    </w:p>
    <w:p>
      <w:pPr>
        <w:pStyle w:val="0"/>
        <w:ind w:left="857" w:hanging="428"/>
        <w:rPr>
          <w:rFonts w:hint="default"/>
        </w:rPr>
      </w:pPr>
      <w:r>
        <w:rPr>
          <w:rFonts w:hint="eastAsia"/>
        </w:rPr>
        <w:t>１　罰則を含むもの。地方自治法第</w:t>
      </w:r>
      <w:r>
        <w:rPr>
          <w:rFonts w:hint="eastAsia"/>
        </w:rPr>
        <w:t>14</w:t>
      </w:r>
      <w:r>
        <w:rPr>
          <w:rFonts w:hint="eastAsia"/>
        </w:rPr>
        <w:t>条３項に基づき，条例違反者に懲役・禁固・罰金等の刑を科することができる。青少年健全育成条例などが該当する。</w:t>
      </w:r>
    </w:p>
    <w:p>
      <w:pPr>
        <w:pStyle w:val="0"/>
        <w:ind w:left="857" w:hanging="428"/>
        <w:rPr>
          <w:rFonts w:hint="default"/>
        </w:rPr>
      </w:pPr>
      <w:r>
        <w:rPr>
          <w:rFonts w:hint="eastAsia"/>
        </w:rPr>
        <w:t>２　権力行政に関するもの。住民の権利を制限したり，義務を科したりするもので，放置自転車を撤去する自転車条例などが該当する。</w:t>
      </w:r>
    </w:p>
    <w:p>
      <w:pPr>
        <w:pStyle w:val="0"/>
        <w:ind w:left="857" w:hanging="428"/>
        <w:rPr>
          <w:rFonts w:hint="default"/>
        </w:rPr>
      </w:pPr>
      <w:r>
        <w:rPr>
          <w:rFonts w:hint="eastAsia"/>
        </w:rPr>
        <w:t>３　住民への給付決定に関するもので，不服申し立ての原因となる事項。情報公開条例などが該当する。</w:t>
      </w:r>
    </w:p>
    <w:p>
      <w:pPr>
        <w:pStyle w:val="0"/>
        <w:ind w:left="857" w:hanging="428"/>
        <w:rPr>
          <w:rFonts w:hint="default"/>
        </w:rPr>
      </w:pPr>
      <w:r>
        <w:rPr>
          <w:rFonts w:hint="eastAsia"/>
        </w:rPr>
        <w:t>４　その他，公の施設の設置，住民参加の審議会の設置など，地方自治法などで条例に基づくものと規定されている事項。</w:t>
      </w:r>
    </w:p>
    <w:p>
      <w:pPr>
        <w:pStyle w:val="0"/>
        <w:rPr>
          <w:rFonts w:hint="default"/>
        </w:rPr>
      </w:pPr>
      <w:r>
        <w:rPr>
          <w:rFonts w:hint="eastAsia"/>
          <w:spacing w:val="-1"/>
        </w:rPr>
        <w:t xml:space="preserve">                  </w:t>
      </w:r>
    </w:p>
    <w:p>
      <w:pPr>
        <w:pStyle w:val="0"/>
        <w:rPr>
          <w:rFonts w:hint="default"/>
        </w:rPr>
      </w:pPr>
      <w:r>
        <w:rPr>
          <w:rFonts w:hint="eastAsia" w:ascii="ＭＳ ゴシック" w:hAnsi="ＭＳ ゴシック" w:eastAsia="ＭＳ ゴシック"/>
        </w:rPr>
        <w:t>辞　　令</w:t>
      </w:r>
    </w:p>
    <w:p>
      <w:pPr>
        <w:pStyle w:val="0"/>
        <w:ind w:left="429"/>
        <w:rPr>
          <w:rFonts w:hint="default"/>
        </w:rPr>
      </w:pPr>
      <w:r>
        <w:rPr>
          <w:rFonts w:hint="eastAsia"/>
        </w:rPr>
        <w:t>　人事に関する任免・給与の昇級等に際し，その旨を書いて本人に交付する文書。</w:t>
      </w:r>
    </w:p>
    <w:p>
      <w:pPr>
        <w:pStyle w:val="0"/>
        <w:rPr>
          <w:rFonts w:hint="default"/>
        </w:rPr>
      </w:pPr>
    </w:p>
    <w:p>
      <w:pPr>
        <w:pStyle w:val="0"/>
        <w:rPr>
          <w:rFonts w:hint="default"/>
        </w:rPr>
      </w:pPr>
      <w:r>
        <w:rPr>
          <w:rFonts w:hint="eastAsia" w:ascii="ＭＳ ゴシック" w:hAnsi="ＭＳ ゴシック" w:eastAsia="ＭＳ ゴシック"/>
        </w:rPr>
        <w:t>人確法（学校教育の水準</w:t>
      </w:r>
      <w:r>
        <w:rPr>
          <w:rFonts w:hint="eastAsia" w:ascii="ＭＳ ゴシック" w:hAnsi="ＭＳ ゴシック" w:eastAsia="ＭＳ ゴシック"/>
          <w:color w:val="000000" w:themeColor="text1"/>
        </w:rPr>
        <w:t>の</w:t>
      </w:r>
      <w:r>
        <w:rPr>
          <w:rFonts w:hint="eastAsia" w:ascii="ＭＳ ゴシック" w:hAnsi="ＭＳ ゴシック" w:eastAsia="ＭＳ ゴシック"/>
        </w:rPr>
        <w:t>維持向上のための義務教育諸学校の教育職員の人材確保に関する</w:t>
      </w:r>
      <w:r>
        <w:rPr>
          <w:rFonts w:hint="eastAsia" w:ascii="ＭＳ ゴシック" w:hAnsi="ＭＳ ゴシック" w:eastAsia="ＭＳ ゴシック"/>
          <w:color w:val="000000" w:themeColor="text1"/>
        </w:rPr>
        <w:t>特別措置法</w:t>
      </w:r>
      <w:r>
        <w:rPr>
          <w:rFonts w:hint="eastAsia" w:ascii="ＭＳ ゴシック" w:hAnsi="ＭＳ ゴシック" w:eastAsia="ＭＳ ゴシック"/>
        </w:rPr>
        <w:t>）</w:t>
      </w:r>
    </w:p>
    <w:p>
      <w:pPr>
        <w:pStyle w:val="0"/>
        <w:ind w:left="429" w:firstLine="214"/>
        <w:rPr>
          <w:rFonts w:hint="default"/>
        </w:rPr>
      </w:pPr>
      <w:r>
        <w:rPr>
          <w:rFonts w:hint="eastAsia"/>
        </w:rPr>
        <w:t>本法は，義務教育諸学校の教員給与を一般行政職員の給与水準を超えたものとし，人材面から教育のレベルアップを図ろうとしたものである。昭和</w:t>
      </w:r>
      <w:r>
        <w:rPr>
          <w:rFonts w:hint="eastAsia"/>
        </w:rPr>
        <w:t>41</w:t>
      </w:r>
      <w:r>
        <w:rPr>
          <w:rFonts w:hint="eastAsia"/>
        </w:rPr>
        <w:t>年，ＩＬＯとユネスコの共同勧告「教員の地位に関する勧告」が発表され，教育の進展は教員の資質・能力にかかっていることに留意して，「教育の仕事は専門職としてみなされるべきである」という趣旨のもとに，教師に専門職として社会的尊敬を受けるに足る労働条件・賃金等を保障することを求めた。これを契機に，中央教育審議会も昭和</w:t>
      </w:r>
      <w:r>
        <w:rPr>
          <w:rFonts w:hint="eastAsia"/>
        </w:rPr>
        <w:t>46</w:t>
      </w:r>
      <w:r>
        <w:rPr>
          <w:rFonts w:hint="eastAsia"/>
        </w:rPr>
        <w:t>年に，教員養成から採用後の再教育までの見直しと，人材確保のための給与改善，専門性や職務能力に見合った給与等級制度の見直しなどを答申した。当時の田中内閣は教員の給与改善に積極的で，昭和</w:t>
      </w:r>
      <w:r>
        <w:rPr>
          <w:rFonts w:hint="eastAsia"/>
        </w:rPr>
        <w:t>48</w:t>
      </w:r>
      <w:r>
        <w:rPr>
          <w:rFonts w:hint="eastAsia"/>
        </w:rPr>
        <w:t>年，本法法案を国会に提出し，その後いくつかの付帯条件を国会決議して，昭和</w:t>
      </w:r>
      <w:r>
        <w:rPr>
          <w:rFonts w:hint="eastAsia"/>
        </w:rPr>
        <w:t>49</w:t>
      </w:r>
      <w:r>
        <w:rPr>
          <w:rFonts w:hint="eastAsia"/>
        </w:rPr>
        <w:t>年に成立，施行された。</w:t>
      </w:r>
    </w:p>
    <w:p>
      <w:pPr>
        <w:pStyle w:val="0"/>
        <w:ind w:left="642"/>
        <w:rPr>
          <w:rFonts w:hint="default"/>
        </w:rPr>
      </w:pPr>
    </w:p>
    <w:p>
      <w:pPr>
        <w:pStyle w:val="0"/>
        <w:rPr>
          <w:rFonts w:hint="default"/>
        </w:rPr>
      </w:pPr>
      <w:r>
        <w:rPr>
          <w:rFonts w:hint="eastAsia" w:ascii="ＭＳ ゴシック" w:hAnsi="ＭＳ ゴシック" w:eastAsia="ＭＳ ゴシック"/>
        </w:rPr>
        <w:t>シンポジウム（</w:t>
      </w:r>
      <w:r>
        <w:rPr>
          <w:rFonts w:hint="eastAsia" w:ascii="ＭＳ ゴシック" w:hAnsi="ＭＳ ゴシック" w:eastAsia="ＭＳ ゴシック"/>
        </w:rPr>
        <w:t>Symposium</w:t>
      </w:r>
      <w:r>
        <w:rPr>
          <w:rFonts w:hint="eastAsia" w:ascii="ＭＳ ゴシック" w:hAnsi="ＭＳ ゴシック" w:eastAsia="ＭＳ ゴシック"/>
        </w:rPr>
        <w:t>）</w:t>
      </w:r>
    </w:p>
    <w:p>
      <w:pPr>
        <w:pStyle w:val="0"/>
        <w:ind w:left="429"/>
        <w:rPr>
          <w:rFonts w:hint="default"/>
        </w:rPr>
      </w:pPr>
      <w:r>
        <w:rPr>
          <w:rFonts w:hint="eastAsia"/>
        </w:rPr>
        <w:t>　同一問題に，二人以上の講演者が違った面から意見を述べて，聴衆や司会者からの質問を受けて，講演者がそれに答えるという討論会のひとつの形式。</w:t>
      </w:r>
      <w:r>
        <w:rPr>
          <w:rFonts w:hint="eastAsia"/>
          <w:spacing w:val="-1"/>
        </w:rPr>
        <w:t xml:space="preserve"> </w:t>
      </w:r>
    </w:p>
    <w:p>
      <w:pPr>
        <w:pStyle w:val="0"/>
        <w:rPr>
          <w:rFonts w:hint="default"/>
        </w:rPr>
      </w:pPr>
    </w:p>
    <w:p>
      <w:pPr>
        <w:pStyle w:val="0"/>
        <w:rPr>
          <w:rFonts w:hint="default"/>
        </w:rPr>
      </w:pPr>
      <w:r>
        <w:rPr>
          <w:rFonts w:hint="eastAsia" w:ascii="ＭＳ ゴシック" w:hAnsi="ＭＳ ゴシック" w:eastAsia="ＭＳ ゴシック"/>
        </w:rPr>
        <w:t>斉一型短時間勤務職員</w:t>
      </w:r>
      <w:r>
        <w:rPr>
          <w:rFonts w:hint="eastAsia"/>
          <w:spacing w:val="-1"/>
        </w:rPr>
        <w:t xml:space="preserve">                 </w:t>
      </w:r>
    </w:p>
    <w:p>
      <w:pPr>
        <w:pStyle w:val="0"/>
        <w:ind w:left="429"/>
        <w:rPr>
          <w:rFonts w:hint="default"/>
        </w:rPr>
      </w:pPr>
      <w:r>
        <w:rPr>
          <w:rFonts w:hint="eastAsia"/>
        </w:rPr>
        <w:t>　再任用短時間勤務職員</w:t>
      </w:r>
      <w:r>
        <w:rPr>
          <w:rFonts w:hint="eastAsia"/>
          <w:color w:val="auto"/>
        </w:rPr>
        <w:t>，</w:t>
      </w:r>
      <w:r>
        <w:rPr>
          <w:rFonts w:hint="eastAsia"/>
        </w:rPr>
        <w:t>任期付短時間勤務職員及び育児短時間勤務職員等のうち，一週間ごとの勤務日の日数及び勤務日ごとの勤務時間の時間数が同一であるものをいう。</w:t>
      </w:r>
    </w:p>
    <w:p>
      <w:pPr>
        <w:pStyle w:val="0"/>
        <w:ind w:left="429"/>
        <w:rPr>
          <w:rFonts w:hint="default"/>
        </w:rPr>
      </w:pPr>
    </w:p>
    <w:p>
      <w:pPr>
        <w:pStyle w:val="0"/>
        <w:rPr>
          <w:rFonts w:hint="default"/>
        </w:rPr>
      </w:pPr>
      <w:r>
        <w:rPr>
          <w:rFonts w:hint="eastAsia" w:ascii="ＭＳ ゴシック" w:hAnsi="ＭＳ ゴシック" w:eastAsia="ＭＳ ゴシック"/>
        </w:rPr>
        <w:t>セキュリティポリシー（</w:t>
      </w:r>
      <w:r>
        <w:rPr>
          <w:rFonts w:hint="eastAsia" w:ascii="ＭＳ ゴシック" w:hAnsi="ＭＳ ゴシック" w:eastAsia="ＭＳ ゴシック"/>
        </w:rPr>
        <w:t>Security</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policy</w:t>
      </w:r>
      <w:r>
        <w:rPr>
          <w:rFonts w:hint="eastAsia" w:ascii="ＭＳ ゴシック" w:hAnsi="ＭＳ ゴシック" w:eastAsia="ＭＳ ゴシック"/>
        </w:rPr>
        <w:t>）</w:t>
      </w:r>
    </w:p>
    <w:p>
      <w:pPr>
        <w:pStyle w:val="0"/>
        <w:ind w:left="429"/>
        <w:rPr>
          <w:rFonts w:hint="default"/>
        </w:rPr>
      </w:pPr>
      <w:r>
        <w:rPr>
          <w:rFonts w:hint="eastAsia"/>
        </w:rPr>
        <w:t>　各府省が所有する情報や情報システムなどの情報資産の情報セキュリティ対策について，各府省が総合的・体系的かつ具体的にとりまとめたもの。どのような情報資産をどのような脅威から，どのようにして守るのかについての基本的な考え方並びに情報セキュリティを確保するための体制，組織及び運用を含めた規定。</w:t>
      </w:r>
    </w:p>
    <w:p>
      <w:pPr>
        <w:pStyle w:val="0"/>
        <w:rPr>
          <w:rFonts w:hint="default"/>
        </w:rPr>
      </w:pPr>
    </w:p>
    <w:p>
      <w:pPr>
        <w:pStyle w:val="0"/>
        <w:rPr>
          <w:rFonts w:hint="default"/>
        </w:rPr>
      </w:pPr>
      <w:r>
        <w:rPr>
          <w:rFonts w:hint="eastAsia" w:ascii="ＭＳ ゴシック" w:hAnsi="ＭＳ ゴシック" w:eastAsia="ＭＳ ゴシック"/>
        </w:rPr>
        <w:t>セクハラ（</w:t>
      </w:r>
      <w:r>
        <w:rPr>
          <w:rFonts w:hint="eastAsia" w:ascii="ＭＳ ゴシック" w:hAnsi="ＭＳ ゴシック" w:eastAsia="ＭＳ ゴシック"/>
        </w:rPr>
        <w:t>Sexual</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harassment</w:t>
      </w:r>
      <w:r>
        <w:rPr>
          <w:rFonts w:hint="eastAsia" w:ascii="ＭＳ ゴシック" w:hAnsi="ＭＳ ゴシック" w:eastAsia="ＭＳ ゴシック"/>
        </w:rPr>
        <w:t>）</w:t>
      </w:r>
    </w:p>
    <w:p>
      <w:pPr>
        <w:pStyle w:val="0"/>
        <w:ind w:left="429"/>
        <w:rPr>
          <w:rFonts w:hint="default"/>
        </w:rPr>
      </w:pPr>
      <w:r>
        <w:rPr>
          <w:rFonts w:hint="eastAsia"/>
        </w:rPr>
        <w:t>　セクシュアル・ハラスメントの略。卑わいな冗談，私生活や容姿に対する性的発言，身体への不必要な接触など相手が望まない性的言動や嫌がらせ。</w:t>
      </w:r>
      <w:r>
        <w:rPr>
          <w:rFonts w:hint="eastAsia"/>
          <w:spacing w:val="-1"/>
        </w:rPr>
        <w:t xml:space="preserve"> </w:t>
      </w:r>
    </w:p>
    <w:p>
      <w:pPr>
        <w:pStyle w:val="0"/>
        <w:ind w:left="429"/>
        <w:rPr>
          <w:rFonts w:hint="default"/>
        </w:rPr>
      </w:pPr>
    </w:p>
    <w:p>
      <w:pPr>
        <w:pStyle w:val="0"/>
        <w:rPr>
          <w:rFonts w:hint="default"/>
        </w:rPr>
      </w:pPr>
      <w:r>
        <w:rPr>
          <w:rFonts w:hint="eastAsia" w:ascii="ＭＳ ゴシック" w:hAnsi="ＭＳ ゴシック" w:eastAsia="ＭＳ ゴシック"/>
        </w:rPr>
        <w:t>「遡及」と「追給戻入」（「そきゅう」と「ついきゅうれいにゅう」）</w:t>
      </w:r>
    </w:p>
    <w:p>
      <w:pPr>
        <w:pStyle w:val="0"/>
        <w:ind w:left="429"/>
        <w:rPr>
          <w:rFonts w:hint="default"/>
        </w:rPr>
      </w:pPr>
      <w:r>
        <w:rPr>
          <w:rFonts w:hint="eastAsia"/>
        </w:rPr>
        <w:t>　「遡及」とは，給与や諸手当等を過去にさかのぼって調整することをいい，「追給戻入」とは，月の途中における採用・退職・育休・復職などにより，給料及び諸手当を調整することをいう。</w:t>
      </w:r>
    </w:p>
    <w:p>
      <w:pPr>
        <w:pStyle w:val="0"/>
        <w:rPr>
          <w:rFonts w:hint="default"/>
        </w:rPr>
      </w:pPr>
    </w:p>
    <w:p>
      <w:pPr>
        <w:pStyle w:val="0"/>
        <w:rPr>
          <w:rFonts w:hint="default"/>
        </w:rPr>
      </w:pPr>
      <w:r>
        <w:rPr>
          <w:rFonts w:hint="eastAsia" w:ascii="ＭＳ ゴシック" w:hAnsi="ＭＳ ゴシック" w:eastAsia="ＭＳ ゴシック"/>
        </w:rPr>
        <w:t>組織マネジメント</w:t>
      </w:r>
    </w:p>
    <w:p>
      <w:pPr>
        <w:pStyle w:val="0"/>
        <w:ind w:left="429"/>
        <w:rPr>
          <w:rFonts w:hint="default"/>
        </w:rPr>
      </w:pPr>
      <w:r>
        <w:rPr>
          <w:rFonts w:hint="eastAsia"/>
        </w:rPr>
        <w:t>　組織マネジメントは，「個人が単独でできない結果を達成するために，他人の活動を調整する一人ないしは，それ以上の人々の活動」，「求める目的に向かって，効率的・効果的に動くために，資源を統合し，調整すること」だと言われている。</w:t>
      </w:r>
    </w:p>
    <w:p>
      <w:pPr>
        <w:pStyle w:val="0"/>
        <w:ind w:left="429"/>
        <w:rPr>
          <w:rFonts w:hint="default"/>
        </w:rPr>
      </w:pPr>
      <w:r>
        <w:rPr>
          <w:rFonts w:hint="eastAsia"/>
        </w:rPr>
        <w:t>　学校における組織マネジメントは，「学校内外の能力や資源を開発・活用し，学校に関与する人たちのニーズと適応させながら，学校教育目標を達成していく過程（活動）」を意味している。</w:t>
      </w:r>
    </w:p>
    <w:p>
      <w:pPr>
        <w:pStyle w:val="0"/>
        <w:ind w:left="429"/>
        <w:rPr>
          <w:rFonts w:hint="default"/>
        </w:rPr>
      </w:pPr>
      <w:r>
        <w:rPr>
          <w:rFonts w:hint="eastAsia"/>
        </w:rPr>
        <w:t>　経営組織体が，単なる集団（人の集まり）ではなく，組織である条件とは，①社会的な存在，②目的を持ち，目標によって駆動，③人のコミュニケーションを通じた協働が前提，④意図的に構成され，調整されるシステム，⑤外部の環境と結びついたオープンシステム，の５つがあげられる。</w:t>
      </w:r>
    </w:p>
    <w:p>
      <w:pPr>
        <w:pStyle w:val="0"/>
        <w:rPr>
          <w:rFonts w:hint="default"/>
        </w:rPr>
      </w:pPr>
    </w:p>
    <w:p>
      <w:pPr>
        <w:pStyle w:val="0"/>
        <w:rPr>
          <w:rFonts w:hint="default"/>
        </w:rPr>
      </w:pPr>
      <w:r>
        <w:rPr>
          <w:rFonts w:hint="eastAsia" w:ascii="ＭＳ ゴシック" w:hAnsi="ＭＳ ゴシック" w:eastAsia="ＭＳ ゴシック"/>
        </w:rPr>
        <w:t>＜タ行＞</w:t>
      </w:r>
    </w:p>
    <w:p>
      <w:pPr>
        <w:pStyle w:val="0"/>
        <w:rPr>
          <w:rFonts w:hint="default"/>
        </w:rPr>
      </w:pPr>
      <w:r>
        <w:rPr>
          <w:rFonts w:hint="eastAsia" w:ascii="ＭＳ ゴシック" w:hAnsi="ＭＳ ゴシック" w:eastAsia="ＭＳ ゴシック"/>
        </w:rPr>
        <w:t>第３号被保険者</w:t>
      </w:r>
    </w:p>
    <w:p>
      <w:pPr>
        <w:pStyle w:val="0"/>
        <w:ind w:left="429"/>
        <w:rPr>
          <w:rFonts w:hint="default"/>
        </w:rPr>
      </w:pPr>
      <w:r>
        <w:rPr>
          <w:rFonts w:hint="eastAsia"/>
          <w:spacing w:val="-1"/>
        </w:rPr>
        <w:t>　</w:t>
      </w:r>
      <w:r>
        <w:rPr>
          <w:rFonts w:hint="eastAsia"/>
        </w:rPr>
        <w:t>昭和</w:t>
      </w:r>
      <w:r>
        <w:rPr>
          <w:rFonts w:hint="eastAsia"/>
        </w:rPr>
        <w:t>61</w:t>
      </w:r>
      <w:r>
        <w:rPr>
          <w:rFonts w:hint="eastAsia"/>
        </w:rPr>
        <w:t>年４月に導入された基礎年金制度で，それまで国民年金に任意加入であった「会社員（第２号被保険者）に扶養されている配偶者（専業主婦等）」も全員加入になった。これにより厚生年金や共済年金の加入者に扶養されている配偶者のうち</w:t>
      </w:r>
      <w:r>
        <w:rPr>
          <w:rFonts w:hint="eastAsia"/>
        </w:rPr>
        <w:t>20</w:t>
      </w:r>
      <w:r>
        <w:rPr>
          <w:rFonts w:hint="eastAsia"/>
        </w:rPr>
        <w:t>歳以上，</w:t>
      </w:r>
      <w:r>
        <w:rPr>
          <w:rFonts w:hint="eastAsia"/>
        </w:rPr>
        <w:t>60</w:t>
      </w:r>
      <w:r>
        <w:rPr>
          <w:rFonts w:hint="eastAsia"/>
        </w:rPr>
        <w:t>歳未満で年収</w:t>
      </w:r>
      <w:r>
        <w:rPr>
          <w:rFonts w:hint="eastAsia"/>
        </w:rPr>
        <w:t>130</w:t>
      </w:r>
      <w:r>
        <w:rPr>
          <w:rFonts w:hint="eastAsia"/>
        </w:rPr>
        <w:t>万円未満の層を第３号被保険者と呼んでいる。配偶者の保険料は厚生年金や共済年金の加入者全体で負担する形となっており，年収が</w:t>
      </w:r>
      <w:r>
        <w:rPr>
          <w:rFonts w:hint="eastAsia"/>
        </w:rPr>
        <w:t>130</w:t>
      </w:r>
      <w:r>
        <w:rPr>
          <w:rFonts w:hint="eastAsia"/>
        </w:rPr>
        <w:t>万円以下ならば配偶者本人の負担はない。</w:t>
      </w:r>
    </w:p>
    <w:p>
      <w:pPr>
        <w:pStyle w:val="0"/>
        <w:rPr>
          <w:rFonts w:hint="default"/>
        </w:rPr>
      </w:pPr>
    </w:p>
    <w:p>
      <w:pPr>
        <w:pStyle w:val="0"/>
        <w:rPr>
          <w:rFonts w:hint="default"/>
        </w:rPr>
      </w:pPr>
      <w:r>
        <w:rPr>
          <w:rFonts w:hint="eastAsia" w:ascii="ＭＳ ゴシック" w:hAnsi="ＭＳ ゴシック" w:eastAsia="ＭＳ ゴシック"/>
        </w:rPr>
        <w:t>貸借対照表（</w:t>
      </w:r>
      <w:r>
        <w:rPr>
          <w:rFonts w:hint="eastAsia" w:ascii="ＭＳ ゴシック" w:hAnsi="ＭＳ ゴシック" w:eastAsia="ＭＳ ゴシック"/>
        </w:rPr>
        <w:t>balance</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sheet</w:t>
      </w:r>
      <w:r>
        <w:rPr>
          <w:rFonts w:hint="eastAsia" w:ascii="ＭＳ ゴシック" w:hAnsi="ＭＳ ゴシック" w:eastAsia="ＭＳ ゴシック"/>
        </w:rPr>
        <w:t>）</w:t>
      </w:r>
    </w:p>
    <w:p>
      <w:pPr>
        <w:pStyle w:val="0"/>
        <w:ind w:left="429"/>
        <w:rPr>
          <w:rFonts w:hint="default"/>
          <w:spacing w:val="-1"/>
        </w:rPr>
      </w:pPr>
      <w:r>
        <w:rPr>
          <w:rFonts w:hint="eastAsia"/>
          <w:spacing w:val="-1"/>
        </w:rPr>
        <w:t xml:space="preserve">  </w:t>
      </w:r>
      <w:r>
        <w:rPr>
          <w:rFonts w:hint="eastAsia"/>
        </w:rPr>
        <w:t>特定期日（決算期日）における企業の「資産と負債を対象表示」したもの。企業が調達した資本は負債（貸方）の部になり，このうち株主資本（内部負債＝自己資本ともいう）は資本，他人資本（外部負債）は負債に振り分けられる。一方，これらの資本を運用して得た資産は資産（借方）の部に挙げられる。資産と負債は必ず同額になるようにしてあることからバランスシートと呼ばれている。損益計算書，剰余金計算書，キャッシュフロー計算書とともに，最も重要な財務諸表である。</w:t>
      </w:r>
      <w:r>
        <w:rPr>
          <w:rFonts w:hint="eastAsia"/>
          <w:spacing w:val="-1"/>
        </w:rPr>
        <w:t xml:space="preserve"> </w:t>
      </w:r>
    </w:p>
    <w:p>
      <w:pPr>
        <w:pStyle w:val="0"/>
        <w:rPr>
          <w:rFonts w:hint="default"/>
          <w:color w:val="FF0000"/>
        </w:rPr>
      </w:pPr>
    </w:p>
    <w:p>
      <w:pPr>
        <w:pStyle w:val="0"/>
        <w:rPr>
          <w:rFonts w:hint="default"/>
          <w:color w:val="000000" w:themeColor="text1"/>
        </w:rPr>
      </w:pPr>
      <w:r>
        <w:rPr>
          <w:rFonts w:hint="eastAsia" w:ascii="ＭＳ ゴシック" w:hAnsi="ＭＳ ゴシック" w:eastAsia="ＭＳ ゴシック"/>
          <w:color w:val="000000" w:themeColor="text1"/>
        </w:rPr>
        <w:t>地方公務員災害補償法</w:t>
      </w:r>
    </w:p>
    <w:p>
      <w:pPr>
        <w:pStyle w:val="0"/>
        <w:ind w:left="429" w:hanging="429"/>
        <w:rPr>
          <w:rFonts w:hint="default"/>
        </w:rPr>
      </w:pPr>
      <w:r>
        <w:rPr>
          <w:rFonts w:hint="eastAsia"/>
          <w:spacing w:val="-1"/>
        </w:rPr>
        <w:t xml:space="preserve">      </w:t>
      </w:r>
      <w:r>
        <w:rPr>
          <w:rFonts w:hint="eastAsia"/>
        </w:rPr>
        <w:t>勤労者が，業務上の原因で負傷したり，病気にかかったりした場合の補償については，労働基準法が規定するところである。この規定を守り，勤労者の労働災害補償を十分なものとするためには，補償基金の確保が必要である。そこで，労働基準法の制定されたのと同じ昭和</w:t>
      </w:r>
      <w:r>
        <w:rPr>
          <w:rFonts w:hint="eastAsia"/>
        </w:rPr>
        <w:t>22</w:t>
      </w:r>
      <w:r>
        <w:rPr>
          <w:rFonts w:hint="eastAsia"/>
        </w:rPr>
        <w:t>年，「労働者災害補償保険法」が制定された。しかし，一般職の地方公務員については，労働基準法に基づく災害補償は適用されたが，労働者災害補償保険法には加入していなかった（ただし，現業職の地方公務員は加入していた）。また，国家公務員については，昭和</w:t>
      </w:r>
      <w:r>
        <w:rPr>
          <w:rFonts w:hint="eastAsia"/>
        </w:rPr>
        <w:t>26</w:t>
      </w:r>
      <w:r>
        <w:rPr>
          <w:rFonts w:hint="eastAsia"/>
        </w:rPr>
        <w:t>年から，「国家公務員災害補償法」が制定されて，別立ての補償となっていた。</w:t>
      </w:r>
    </w:p>
    <w:p>
      <w:pPr>
        <w:pStyle w:val="0"/>
        <w:ind w:left="429"/>
        <w:rPr>
          <w:rFonts w:hint="default"/>
        </w:rPr>
      </w:pPr>
      <w:r>
        <w:rPr>
          <w:rFonts w:hint="eastAsia"/>
        </w:rPr>
        <w:t>　ところが，昭和</w:t>
      </w:r>
      <w:r>
        <w:rPr>
          <w:rFonts w:hint="eastAsia"/>
        </w:rPr>
        <w:t>40</w:t>
      </w:r>
      <w:r>
        <w:rPr>
          <w:rFonts w:hint="eastAsia"/>
        </w:rPr>
        <w:t>年度に労働者災害補償保険法に年金制度が導入されて補償が大幅に改善され，その適用を受ける現業職と適用されない一般職の地方公務員とでは補償に大きな差が生ずることとなってしまった。そのため，昭和</w:t>
      </w:r>
      <w:r>
        <w:rPr>
          <w:rFonts w:hint="eastAsia"/>
        </w:rPr>
        <w:t>42</w:t>
      </w:r>
      <w:r>
        <w:rPr>
          <w:rFonts w:hint="eastAsia"/>
        </w:rPr>
        <w:t>年，本法が制定されるに至った。</w:t>
      </w:r>
    </w:p>
    <w:p>
      <w:pPr>
        <w:pStyle w:val="0"/>
        <w:rPr>
          <w:rFonts w:hint="default"/>
        </w:rPr>
      </w:pPr>
    </w:p>
    <w:p>
      <w:pPr>
        <w:pStyle w:val="0"/>
        <w:rPr>
          <w:rFonts w:hint="default"/>
        </w:rPr>
      </w:pPr>
    </w:p>
    <w:p>
      <w:pPr>
        <w:pStyle w:val="0"/>
        <w:rPr>
          <w:rFonts w:hint="default"/>
        </w:rPr>
      </w:pPr>
      <w:r>
        <w:rPr>
          <w:rFonts w:hint="eastAsia" w:ascii="ＭＳ ゴシック" w:hAnsi="ＭＳ ゴシック" w:eastAsia="ＭＳ ゴシック"/>
        </w:rPr>
        <w:t>地方公務員法</w:t>
      </w:r>
    </w:p>
    <w:p>
      <w:pPr>
        <w:pStyle w:val="0"/>
        <w:ind w:left="429"/>
        <w:rPr>
          <w:rFonts w:hint="default"/>
        </w:rPr>
      </w:pPr>
      <w:r>
        <w:rPr>
          <w:rFonts w:hint="eastAsia"/>
          <w:spacing w:val="-1"/>
        </w:rPr>
        <w:t xml:space="preserve">  </w:t>
      </w:r>
      <w:r>
        <w:rPr>
          <w:rFonts w:hint="eastAsia"/>
        </w:rPr>
        <w:t>職・任免・服務・労働関係など</w:t>
      </w:r>
      <w:r>
        <w:rPr>
          <w:rFonts w:hint="eastAsia"/>
        </w:rPr>
        <w:t>,</w:t>
      </w:r>
      <w:r>
        <w:rPr>
          <w:rFonts w:hint="eastAsia"/>
        </w:rPr>
        <w:t>地方公務員の身分取扱に関する基本的な事項を定めた法律。　　地方公務員に関する最初の法令は，明治</w:t>
      </w:r>
      <w:r>
        <w:rPr>
          <w:rFonts w:hint="eastAsia"/>
        </w:rPr>
        <w:t>11</w:t>
      </w:r>
      <w:r>
        <w:rPr>
          <w:rFonts w:hint="eastAsia"/>
        </w:rPr>
        <w:t>年の「府県官職制」に始まり，明治</w:t>
      </w:r>
      <w:r>
        <w:rPr>
          <w:rFonts w:hint="eastAsia"/>
        </w:rPr>
        <w:t>35</w:t>
      </w:r>
      <w:r>
        <w:rPr>
          <w:rFonts w:hint="eastAsia"/>
        </w:rPr>
        <w:t>年に「府県職員服務規律」，同</w:t>
      </w:r>
      <w:r>
        <w:rPr>
          <w:rFonts w:hint="eastAsia"/>
        </w:rPr>
        <w:t>44</w:t>
      </w:r>
      <w:r>
        <w:rPr>
          <w:rFonts w:hint="eastAsia"/>
        </w:rPr>
        <w:t>年に「市町村職員服務規律」が制定され，戦後も本法が成立されるまではこれらの法令が適用されていた。戦後の昭和</w:t>
      </w:r>
      <w:r>
        <w:rPr>
          <w:rFonts w:hint="eastAsia"/>
        </w:rPr>
        <w:t>21</w:t>
      </w:r>
      <w:r>
        <w:rPr>
          <w:rFonts w:hint="eastAsia"/>
        </w:rPr>
        <w:t>年，地方制度調査会が組織され，地方自治法の制定とともに，地方公務員法の制定も検討が始まった。そうした中で昭和</w:t>
      </w:r>
      <w:r>
        <w:rPr>
          <w:rFonts w:hint="eastAsia"/>
        </w:rPr>
        <w:t>22</w:t>
      </w:r>
      <w:r>
        <w:rPr>
          <w:rFonts w:hint="eastAsia"/>
        </w:rPr>
        <w:t>年，地方自治法がいち早く制定されたが，地方公務員法については当時の激しい労働運動の中で成立困難な状況が続き，昭和</w:t>
      </w:r>
      <w:r>
        <w:rPr>
          <w:rFonts w:hint="eastAsia"/>
        </w:rPr>
        <w:t>23</w:t>
      </w:r>
      <w:r>
        <w:rPr>
          <w:rFonts w:hint="eastAsia"/>
        </w:rPr>
        <w:t>年には，ＧＨＱ指令に基づいて公務員の団体交渉権と争議権を剥奪する内容の「政令</w:t>
      </w:r>
      <w:r>
        <w:rPr>
          <w:rFonts w:hint="eastAsia"/>
        </w:rPr>
        <w:t>201</w:t>
      </w:r>
      <w:r>
        <w:rPr>
          <w:rFonts w:hint="eastAsia"/>
        </w:rPr>
        <w:t>号」が出されて混乱が深まり，制定が引き延ばしされていった。</w:t>
      </w:r>
    </w:p>
    <w:p>
      <w:pPr>
        <w:pStyle w:val="0"/>
        <w:ind w:left="429"/>
        <w:rPr>
          <w:rFonts w:hint="default"/>
        </w:rPr>
      </w:pPr>
      <w:r>
        <w:rPr>
          <w:rFonts w:hint="eastAsia"/>
        </w:rPr>
        <w:t>　ようやく制定されたのは昭和</w:t>
      </w:r>
      <w:r>
        <w:rPr>
          <w:rFonts w:hint="eastAsia"/>
        </w:rPr>
        <w:t>25</w:t>
      </w:r>
      <w:r>
        <w:rPr>
          <w:rFonts w:hint="eastAsia"/>
        </w:rPr>
        <w:t>年</w:t>
      </w:r>
      <w:r>
        <w:rPr>
          <w:rFonts w:hint="eastAsia"/>
        </w:rPr>
        <w:t>12</w:t>
      </w:r>
      <w:r>
        <w:rPr>
          <w:rFonts w:hint="eastAsia"/>
        </w:rPr>
        <w:t>月で，その内容は労働基本権がかなり制限されたものであった。また，成立後も直ちに全面施行されたわけではなく，昭和</w:t>
      </w:r>
      <w:r>
        <w:rPr>
          <w:rFonts w:hint="eastAsia"/>
        </w:rPr>
        <w:t>28</w:t>
      </w:r>
      <w:r>
        <w:rPr>
          <w:rFonts w:hint="eastAsia"/>
        </w:rPr>
        <w:t>年６月にようやく完全な施行を迎えた。</w:t>
      </w:r>
    </w:p>
    <w:p>
      <w:pPr>
        <w:pStyle w:val="0"/>
        <w:ind w:left="429"/>
        <w:rPr>
          <w:rFonts w:hint="default"/>
        </w:rPr>
      </w:pPr>
    </w:p>
    <w:p>
      <w:pPr>
        <w:pStyle w:val="0"/>
        <w:rPr>
          <w:rFonts w:hint="default"/>
        </w:rPr>
      </w:pPr>
      <w:r>
        <w:rPr>
          <w:rFonts w:hint="eastAsia" w:ascii="ＭＳ ゴシック" w:hAnsi="ＭＳ ゴシック" w:eastAsia="ＭＳ ゴシック"/>
        </w:rPr>
        <w:t>チーム・ティーチング（</w:t>
      </w:r>
      <w:r>
        <w:rPr>
          <w:rFonts w:hint="eastAsia" w:ascii="ＭＳ ゴシック" w:hAnsi="ＭＳ ゴシック" w:eastAsia="ＭＳ ゴシック"/>
        </w:rPr>
        <w:t>Team</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teaching</w:t>
      </w:r>
      <w:r>
        <w:rPr>
          <w:rFonts w:hint="eastAsia" w:ascii="ＭＳ ゴシック" w:hAnsi="ＭＳ ゴシック" w:eastAsia="ＭＳ ゴシック"/>
        </w:rPr>
        <w:t>）</w:t>
      </w:r>
    </w:p>
    <w:p>
      <w:pPr>
        <w:pStyle w:val="0"/>
        <w:ind w:left="429"/>
        <w:rPr>
          <w:rFonts w:hint="default"/>
        </w:rPr>
      </w:pPr>
      <w:r>
        <w:rPr>
          <w:rFonts w:hint="eastAsia"/>
        </w:rPr>
        <w:t>　複数の教員による指導形態。</w:t>
      </w:r>
      <w:r>
        <w:rPr>
          <w:rFonts w:hint="eastAsia"/>
          <w:spacing w:val="-1"/>
        </w:rPr>
        <w:t xml:space="preserve"> </w:t>
      </w:r>
    </w:p>
    <w:p>
      <w:pPr>
        <w:pStyle w:val="0"/>
        <w:rPr>
          <w:rFonts w:hint="default"/>
        </w:rPr>
      </w:pPr>
    </w:p>
    <w:p>
      <w:pPr>
        <w:pStyle w:val="0"/>
        <w:rPr>
          <w:rFonts w:hint="default"/>
        </w:rPr>
      </w:pPr>
      <w:r>
        <w:rPr>
          <w:rFonts w:hint="eastAsia" w:ascii="ＭＳ ゴシック" w:hAnsi="ＭＳ ゴシック" w:eastAsia="ＭＳ ゴシック"/>
        </w:rPr>
        <w:t>中央教育審議会</w:t>
      </w:r>
    </w:p>
    <w:p>
      <w:pPr>
        <w:pStyle w:val="0"/>
        <w:ind w:left="429"/>
        <w:rPr>
          <w:rFonts w:hint="default"/>
        </w:rPr>
      </w:pPr>
      <w:r>
        <w:rPr>
          <w:rFonts w:hint="eastAsia"/>
          <w:spacing w:val="-1"/>
        </w:rPr>
        <w:t xml:space="preserve">  </w:t>
      </w:r>
      <w:r>
        <w:rPr>
          <w:rFonts w:hint="eastAsia"/>
        </w:rPr>
        <w:t>文部科学省に設置される審議会で文部科学大臣の諮問機関の一つである。教育の振興及び生涯学習の推進を中核とした豊かな人間性を備えた創造的な人材の育成に関する重要事項，スポーツの振興に関する重要事項について文部科学大臣に意見を述べる機能を持つ。</w:t>
      </w:r>
    </w:p>
    <w:p>
      <w:pPr>
        <w:pStyle w:val="0"/>
        <w:ind w:left="429" w:firstLine="214" w:firstLineChars="100"/>
        <w:rPr>
          <w:rFonts w:hint="default"/>
        </w:rPr>
      </w:pPr>
      <w:r>
        <w:rPr>
          <w:rFonts w:hint="eastAsia"/>
        </w:rPr>
        <w:t>委員は</w:t>
      </w:r>
      <w:r>
        <w:rPr>
          <w:rFonts w:hint="eastAsia"/>
        </w:rPr>
        <w:t>30</w:t>
      </w:r>
      <w:r>
        <w:rPr>
          <w:rFonts w:hint="eastAsia"/>
        </w:rPr>
        <w:t>名以内で組織し，学識経験のある者のうちから文部科学大臣が任命する。</w:t>
      </w:r>
    </w:p>
    <w:p>
      <w:pPr>
        <w:pStyle w:val="0"/>
        <w:ind w:left="429"/>
        <w:rPr>
          <w:rFonts w:hint="default"/>
        </w:rPr>
      </w:pPr>
      <w:r>
        <w:rPr>
          <w:rFonts w:hint="eastAsia"/>
          <w:spacing w:val="-1"/>
        </w:rPr>
        <w:t xml:space="preserve"> </w:t>
      </w:r>
    </w:p>
    <w:p>
      <w:pPr>
        <w:pStyle w:val="0"/>
        <w:rPr>
          <w:rFonts w:hint="default"/>
        </w:rPr>
      </w:pPr>
      <w:r>
        <w:rPr>
          <w:rFonts w:hint="eastAsia" w:ascii="ＭＳ ゴシック" w:hAnsi="ＭＳ ゴシック" w:eastAsia="ＭＳ ゴシック"/>
        </w:rPr>
        <w:t>通学区域の弾力的運用</w:t>
      </w:r>
    </w:p>
    <w:p>
      <w:pPr>
        <w:pStyle w:val="0"/>
        <w:ind w:left="429"/>
        <w:rPr>
          <w:rFonts w:hint="default"/>
        </w:rPr>
      </w:pPr>
      <w:r>
        <w:rPr>
          <w:rFonts w:hint="eastAsia"/>
        </w:rPr>
        <w:t>　平成９年１月，文部省（当時）は都道府県教育委員会教育長に次のような通知を出し，通学区域の弾力化を推進した。</w:t>
      </w:r>
    </w:p>
    <w:p>
      <w:pPr>
        <w:pStyle w:val="0"/>
        <w:ind w:left="857" w:hanging="428"/>
        <w:rPr>
          <w:rFonts w:hint="default"/>
        </w:rPr>
      </w:pPr>
      <w:r>
        <w:rPr>
          <w:rFonts w:hint="eastAsia"/>
        </w:rPr>
        <w:t>１　各市町村において，地域の実態に即し，保護者の意向に十分配慮した多様な工夫を行うこと。</w:t>
      </w:r>
    </w:p>
    <w:p>
      <w:pPr>
        <w:pStyle w:val="0"/>
        <w:ind w:left="857" w:hanging="428"/>
        <w:rPr>
          <w:rFonts w:hint="default"/>
        </w:rPr>
      </w:pPr>
      <w:r>
        <w:rPr>
          <w:rFonts w:hint="eastAsia"/>
        </w:rPr>
        <w:t>２　学校指定の変更や区域外就学については，市町村教育委員会において，地理的な理由や身体的な理由，いじめの対応を理由とする場合のほか，児童・生徒の具体的な事情に即して相当と認めるときには保護者の申し立てにより認めることができる。</w:t>
      </w:r>
    </w:p>
    <w:p>
      <w:pPr>
        <w:pStyle w:val="0"/>
        <w:ind w:left="857" w:hanging="428"/>
        <w:rPr>
          <w:rFonts w:hint="default"/>
        </w:rPr>
      </w:pPr>
      <w:r>
        <w:rPr>
          <w:rFonts w:hint="eastAsia"/>
        </w:rPr>
        <w:t>３　通学区域制度や学校指定の変更，区域外就学の仕組みについては，入学期日等の通知など様々な機会を通じて，広く保護者に対して周知すること。</w:t>
      </w:r>
    </w:p>
    <w:p>
      <w:pPr>
        <w:pStyle w:val="0"/>
        <w:rPr>
          <w:rFonts w:hint="default"/>
        </w:rPr>
      </w:pPr>
    </w:p>
    <w:p>
      <w:pPr>
        <w:pStyle w:val="0"/>
        <w:rPr>
          <w:rFonts w:hint="default"/>
        </w:rPr>
      </w:pPr>
      <w:r>
        <w:rPr>
          <w:rFonts w:hint="eastAsia" w:ascii="ＭＳ ゴシック" w:hAnsi="ＭＳ ゴシック" w:eastAsia="ＭＳ ゴシック"/>
        </w:rPr>
        <w:t>独立行政法人</w:t>
      </w:r>
    </w:p>
    <w:p>
      <w:pPr>
        <w:pStyle w:val="0"/>
        <w:ind w:left="429"/>
        <w:rPr>
          <w:rFonts w:hint="default"/>
        </w:rPr>
      </w:pPr>
      <w:r>
        <w:rPr>
          <w:rFonts w:hint="eastAsia"/>
        </w:rPr>
        <w:t>　行政改革の一環として国が提供している行政サービスをより効果的・効率的に行えるように国から独立させた組織で，平成</w:t>
      </w:r>
      <w:r>
        <w:rPr>
          <w:rFonts w:hint="eastAsia"/>
        </w:rPr>
        <w:t>12</w:t>
      </w:r>
      <w:r>
        <w:rPr>
          <w:rFonts w:hint="eastAsia"/>
        </w:rPr>
        <w:t>年４月に発足。</w:t>
      </w:r>
    </w:p>
    <w:p>
      <w:pPr>
        <w:pStyle w:val="0"/>
        <w:rPr>
          <w:rFonts w:hint="default"/>
        </w:rPr>
      </w:pPr>
    </w:p>
    <w:p>
      <w:pPr>
        <w:pStyle w:val="0"/>
        <w:rPr>
          <w:rFonts w:hint="default"/>
        </w:rPr>
      </w:pPr>
      <w:r>
        <w:rPr>
          <w:rFonts w:hint="eastAsia" w:ascii="ＭＳ ゴシック" w:hAnsi="ＭＳ ゴシック" w:eastAsia="ＭＳ ゴシック"/>
        </w:rPr>
        <w:t>＜ナ行＞</w:t>
      </w:r>
    </w:p>
    <w:p>
      <w:pPr>
        <w:pStyle w:val="0"/>
        <w:rPr>
          <w:rFonts w:hint="default"/>
        </w:rPr>
      </w:pPr>
      <w:r>
        <w:rPr>
          <w:rFonts w:hint="eastAsia" w:ascii="ＭＳ ゴシック" w:hAnsi="ＭＳ ゴシック" w:eastAsia="ＭＳ ゴシック"/>
        </w:rPr>
        <w:t>任期付短時間勤務職員</w:t>
      </w:r>
    </w:p>
    <w:p>
      <w:pPr>
        <w:pStyle w:val="0"/>
        <w:ind w:left="429"/>
        <w:rPr>
          <w:rFonts w:hint="default"/>
        </w:rPr>
      </w:pPr>
      <w:r>
        <w:rPr>
          <w:rFonts w:hint="eastAsia"/>
        </w:rPr>
        <w:t>　短時間勤務（育児等）により業務の処理が困難となるおそれがある場合には，当該業務に従事させるため，人事院規則で定めるところにより，当該短時間勤務に係る期間を任用の期間の限度として，任期を定めて任用される職員。</w:t>
      </w:r>
    </w:p>
    <w:p>
      <w:pPr>
        <w:pStyle w:val="0"/>
        <w:rPr>
          <w:rFonts w:hint="default"/>
        </w:rPr>
      </w:pPr>
    </w:p>
    <w:p>
      <w:pPr>
        <w:pStyle w:val="0"/>
        <w:rPr>
          <w:rFonts w:hint="default"/>
        </w:rPr>
      </w:pPr>
      <w:r>
        <w:rPr>
          <w:rFonts w:hint="eastAsia" w:ascii="ＭＳ ゴシック" w:hAnsi="ＭＳ ゴシック" w:eastAsia="ＭＳ ゴシック"/>
        </w:rPr>
        <w:t>ねんきん特別便</w:t>
      </w:r>
    </w:p>
    <w:p>
      <w:pPr>
        <w:pStyle w:val="0"/>
        <w:ind w:left="429" w:right="-90" w:rightChars="-42"/>
        <w:rPr>
          <w:rFonts w:hint="default"/>
        </w:rPr>
      </w:pPr>
      <w:r>
        <w:rPr>
          <w:rFonts w:hint="eastAsia"/>
        </w:rPr>
        <w:t xml:space="preserve">  </w:t>
      </w:r>
      <w:r>
        <w:rPr>
          <w:rFonts w:hint="eastAsia"/>
        </w:rPr>
        <w:t>年金保険料を納付した記録がありながら，基礎年金番号に統合されていないおよそ５千万件のいわゆる「宙に浮いた年金記録」につき，その持ち主として記録に結びつく可能性のある加入者・年金受給者に確認を促す目的で平成</w:t>
      </w:r>
      <w:r>
        <w:rPr>
          <w:rFonts w:hint="eastAsia"/>
        </w:rPr>
        <w:t>19</w:t>
      </w:r>
      <w:r>
        <w:rPr>
          <w:rFonts w:hint="eastAsia"/>
        </w:rPr>
        <w:t>年</w:t>
      </w:r>
      <w:r>
        <w:rPr>
          <w:rFonts w:hint="eastAsia"/>
        </w:rPr>
        <w:t>12</w:t>
      </w:r>
      <w:r>
        <w:rPr>
          <w:rFonts w:hint="eastAsia"/>
        </w:rPr>
        <w:t>月</w:t>
      </w:r>
      <w:r>
        <w:rPr>
          <w:rFonts w:hint="eastAsia"/>
        </w:rPr>
        <w:t>17</w:t>
      </w:r>
      <w:r>
        <w:rPr>
          <w:rFonts w:hint="eastAsia"/>
        </w:rPr>
        <w:t>日より社会保険庁が発送している通知書。平成</w:t>
      </w:r>
      <w:r>
        <w:rPr>
          <w:rFonts w:hint="eastAsia"/>
        </w:rPr>
        <w:t>20</w:t>
      </w:r>
      <w:r>
        <w:rPr>
          <w:rFonts w:hint="eastAsia"/>
        </w:rPr>
        <w:t>年</w:t>
      </w:r>
      <w:r>
        <w:rPr>
          <w:rFonts w:hint="eastAsia"/>
        </w:rPr>
        <w:t>10</w:t>
      </w:r>
      <w:r>
        <w:rPr>
          <w:rFonts w:hint="eastAsia"/>
        </w:rPr>
        <w:t>月</w:t>
      </w:r>
      <w:r>
        <w:rPr>
          <w:rFonts w:hint="eastAsia"/>
        </w:rPr>
        <w:t>30</w:t>
      </w:r>
      <w:r>
        <w:rPr>
          <w:rFonts w:hint="eastAsia"/>
        </w:rPr>
        <w:t>日に社会保険庁は全ての加入者と年金受給者，計約１億</w:t>
      </w:r>
      <w:r>
        <w:rPr>
          <w:rFonts w:hint="eastAsia"/>
        </w:rPr>
        <w:t>800</w:t>
      </w:r>
      <w:r>
        <w:rPr>
          <w:rFonts w:hint="eastAsia"/>
        </w:rPr>
        <w:t>万人への発送を終了した｡以降</w:t>
      </w:r>
      <w:r>
        <w:rPr>
          <w:rFonts w:hint="eastAsia"/>
        </w:rPr>
        <w:t>,</w:t>
      </w:r>
      <w:r>
        <w:rPr>
          <w:rFonts w:hint="eastAsia"/>
        </w:rPr>
        <w:t>平成</w:t>
      </w:r>
      <w:r>
        <w:rPr>
          <w:rFonts w:hint="eastAsia"/>
        </w:rPr>
        <w:t>21</w:t>
      </w:r>
      <w:r>
        <w:rPr>
          <w:rFonts w:hint="eastAsia"/>
        </w:rPr>
        <w:t>年４月から全ての現役加入者への「ねんきん定期便」の発送が定期的に行われる｡</w:t>
      </w:r>
    </w:p>
    <w:p>
      <w:pPr>
        <w:pStyle w:val="0"/>
        <w:ind w:left="429"/>
        <w:rPr>
          <w:rFonts w:hint="default"/>
        </w:rPr>
      </w:pPr>
      <w:r>
        <w:rPr>
          <w:rFonts w:hint="eastAsia"/>
        </w:rPr>
        <w:t>（共済版ねんきん特別便）</w:t>
      </w:r>
    </w:p>
    <w:p>
      <w:pPr>
        <w:pStyle w:val="0"/>
        <w:ind w:left="429"/>
        <w:rPr>
          <w:rFonts w:hint="default"/>
        </w:rPr>
      </w:pPr>
      <w:r>
        <w:rPr>
          <w:rFonts w:hint="eastAsia"/>
        </w:rPr>
        <w:t>　ねんきん特別便は社会保険庁の事業であるため，社会保険庁が所管している国民年金・厚生年金・旧船員保険の記録が記載されている。共済年金については，基礎年金の支給の必要性から社会保険庁では加入月数のみを共済組合から伝えてもらっているので，年金特別便にもその加入月数の記載しかない。</w:t>
      </w:r>
    </w:p>
    <w:p>
      <w:pPr>
        <w:pStyle w:val="0"/>
        <w:ind w:left="429"/>
        <w:rPr>
          <w:rFonts w:hint="default"/>
        </w:rPr>
      </w:pPr>
      <w:r>
        <w:rPr>
          <w:rFonts w:hint="eastAsia"/>
        </w:rPr>
        <w:t>　一方，各共済組合では，社会保険庁のねんきん特別便送付に合わせて共済年金の加入記録を確認してもらうべく，独自に共済版ねんきん特別便の送付が行われている。ただし，この共済版ねんきん特別便は，共済組合に課せられた義務ではないため，どの共済組合でも必ず送付されるとは限らない。</w:t>
      </w:r>
    </w:p>
    <w:p>
      <w:pPr>
        <w:pStyle w:val="0"/>
        <w:rPr>
          <w:rFonts w:hint="default"/>
        </w:rPr>
      </w:pPr>
      <w:r>
        <w:rPr>
          <w:rFonts w:hint="eastAsia"/>
        </w:rPr>
        <w:t>　</w:t>
      </w:r>
    </w:p>
    <w:p>
      <w:pPr>
        <w:pStyle w:val="0"/>
        <w:rPr>
          <w:rFonts w:hint="default"/>
        </w:rPr>
      </w:pPr>
      <w:r>
        <w:rPr>
          <w:rFonts w:hint="eastAsia" w:ascii="ＭＳ ゴシック" w:hAnsi="ＭＳ ゴシック" w:eastAsia="ＭＳ ゴシック"/>
        </w:rPr>
        <w:t>ノーマライゼーション（</w:t>
      </w:r>
      <w:r>
        <w:rPr>
          <w:rFonts w:hint="eastAsia" w:ascii="ＭＳ ゴシック" w:hAnsi="ＭＳ ゴシック" w:eastAsia="ＭＳ ゴシック"/>
        </w:rPr>
        <w:t>Normalization</w:t>
      </w:r>
      <w:r>
        <w:rPr>
          <w:rFonts w:hint="eastAsia" w:ascii="ＭＳ ゴシック" w:hAnsi="ＭＳ ゴシック" w:eastAsia="ＭＳ ゴシック"/>
        </w:rPr>
        <w:t>）</w:t>
      </w:r>
      <w:r>
        <w:rPr>
          <w:rFonts w:hint="eastAsia" w:ascii="ＭＳ ゴシック" w:hAnsi="ＭＳ ゴシック" w:eastAsia="ＭＳ ゴシック"/>
          <w:spacing w:val="-1"/>
        </w:rPr>
        <w:t xml:space="preserve"> </w:t>
      </w:r>
    </w:p>
    <w:p>
      <w:pPr>
        <w:pStyle w:val="0"/>
        <w:ind w:left="429"/>
        <w:rPr>
          <w:rFonts w:hint="default"/>
        </w:rPr>
      </w:pPr>
      <w:r>
        <w:rPr>
          <w:rFonts w:hint="eastAsia"/>
        </w:rPr>
        <w:t>　障害者など社会的にハンディキャップのある人が，そのあるがままの姿で他の人々と同じように生活し，活動のできる社会が正常とする思想。</w:t>
      </w:r>
      <w:r>
        <w:rPr>
          <w:rFonts w:hint="eastAsia"/>
          <w:spacing w:val="-1"/>
        </w:rPr>
        <w:t xml:space="preserve"> </w:t>
      </w:r>
    </w:p>
    <w:p>
      <w:pPr>
        <w:pStyle w:val="0"/>
        <w:rPr>
          <w:rFonts w:hint="default"/>
        </w:rPr>
      </w:pPr>
    </w:p>
    <w:p>
      <w:pPr>
        <w:pStyle w:val="0"/>
        <w:rPr>
          <w:rFonts w:hint="default"/>
        </w:rPr>
      </w:pPr>
      <w:r>
        <w:rPr>
          <w:rFonts w:hint="eastAsia" w:ascii="ＭＳ ゴシック" w:hAnsi="ＭＳ ゴシック" w:eastAsia="ＭＳ ゴシック"/>
        </w:rPr>
        <w:t>＜ハ行＞</w:t>
      </w:r>
    </w:p>
    <w:p>
      <w:pPr>
        <w:pStyle w:val="0"/>
        <w:rPr>
          <w:rFonts w:hint="default"/>
        </w:rPr>
      </w:pPr>
      <w:r>
        <w:rPr>
          <w:rFonts w:hint="eastAsia" w:ascii="ＭＳ ゴシック" w:hAnsi="ＭＳ ゴシック" w:eastAsia="ＭＳ ゴシック"/>
        </w:rPr>
        <w:t>「場合」と「とき」「時」</w:t>
      </w:r>
    </w:p>
    <w:p>
      <w:pPr>
        <w:pStyle w:val="0"/>
        <w:ind w:left="429"/>
        <w:rPr>
          <w:rFonts w:hint="default"/>
        </w:rPr>
      </w:pPr>
      <w:r>
        <w:rPr>
          <w:rFonts w:hint="eastAsia"/>
          <w:spacing w:val="-1"/>
        </w:rPr>
        <w:t xml:space="preserve">  </w:t>
      </w:r>
      <w:r>
        <w:rPr>
          <w:rFonts w:hint="eastAsia"/>
        </w:rPr>
        <w:t>どちらも仮定的条件を示すことばで，ふつうは，意味上の差はない。ただし，仮定的条件が二つ重なる場合は，大きい方の条件に「場合」を，小さい方の条件に「とき」を用いることになっている。</w:t>
      </w:r>
    </w:p>
    <w:p>
      <w:pPr>
        <w:pStyle w:val="0"/>
        <w:ind w:left="429"/>
        <w:rPr>
          <w:rFonts w:hint="default"/>
        </w:rPr>
      </w:pPr>
      <w:r>
        <w:rPr>
          <w:rFonts w:hint="eastAsia"/>
        </w:rPr>
        <w:t>　「時」は文字どおり，時刻又は時間が問題になる場合だけに使われ，仮定的条件を表す場合には使われない。</w:t>
      </w:r>
    </w:p>
    <w:p>
      <w:pPr>
        <w:pStyle w:val="0"/>
        <w:rPr>
          <w:rFonts w:hint="default"/>
        </w:rPr>
      </w:pPr>
    </w:p>
    <w:p>
      <w:pPr>
        <w:pStyle w:val="0"/>
        <w:rPr>
          <w:rFonts w:hint="default" w:ascii="ＭＳ ゴシック" w:hAnsi="ＭＳ ゴシック" w:eastAsia="ＭＳ ゴシック"/>
        </w:rPr>
      </w:pPr>
      <w:r>
        <w:rPr>
          <w:rFonts w:hint="eastAsia" w:ascii="ＭＳ ゴシック" w:hAnsi="ＭＳ ゴシック" w:eastAsia="ＭＳ ゴシック"/>
        </w:rPr>
        <w:t>働き方改革推進関連法（働き方改革を推進するための関係法律の整備に関する法律）</w:t>
      </w:r>
    </w:p>
    <w:p>
      <w:pPr>
        <w:pStyle w:val="0"/>
        <w:ind w:left="428" w:leftChars="200"/>
        <w:rPr>
          <w:rFonts w:hint="default"/>
        </w:rPr>
      </w:pPr>
      <w:r>
        <w:rPr>
          <w:rFonts w:hint="eastAsia"/>
        </w:rPr>
        <w:t>　平成</w:t>
      </w:r>
      <w:r>
        <w:rPr>
          <w:rFonts w:hint="eastAsia"/>
        </w:rPr>
        <w:t>3</w:t>
      </w:r>
      <w:r>
        <w:rPr>
          <w:rFonts w:hint="default"/>
        </w:rPr>
        <w:t>1</w:t>
      </w:r>
      <w:r>
        <w:rPr>
          <w:rFonts w:hint="eastAsia"/>
        </w:rPr>
        <w:t>年の働き方改革推進法の施行により，労働基準法など複数の法律が順次改正された。これにより，勤務時間の上限規制の導入や非正規雇用労働者の待遇の確保など様々な改正がなされている。その中の１つとして，年</w:t>
      </w:r>
      <w:r>
        <w:rPr>
          <w:rFonts w:hint="eastAsia"/>
        </w:rPr>
        <w:t>10</w:t>
      </w:r>
      <w:r>
        <w:rPr>
          <w:rFonts w:hint="eastAsia"/>
        </w:rPr>
        <w:t>日以上の有給休暇が付与される者について，使用者が時季を指定して年５日以上の有給休暇を取得させることが義務付けられた。公務員についても同様の措置がとられているが，給特法の対象となる教育職員は対象外となっている。</w:t>
      </w:r>
    </w:p>
    <w:p>
      <w:pPr>
        <w:pStyle w:val="0"/>
        <w:rPr>
          <w:rFonts w:hint="default"/>
        </w:rPr>
      </w:pPr>
    </w:p>
    <w:p>
      <w:pPr>
        <w:pStyle w:val="0"/>
        <w:rPr>
          <w:rFonts w:hint="default"/>
        </w:rPr>
      </w:pPr>
      <w:r>
        <w:rPr>
          <w:rFonts w:hint="eastAsia" w:ascii="ＭＳ ゴシック" w:hAnsi="ＭＳ ゴシック" w:eastAsia="ＭＳ ゴシック"/>
        </w:rPr>
        <w:t>パブリックコメント（</w:t>
      </w:r>
      <w:r>
        <w:rPr>
          <w:rFonts w:hint="eastAsia" w:ascii="ＭＳ ゴシック" w:hAnsi="ＭＳ ゴシック" w:eastAsia="ＭＳ ゴシック"/>
        </w:rPr>
        <w:t>Public</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comment</w:t>
      </w:r>
      <w:r>
        <w:rPr>
          <w:rFonts w:hint="eastAsia" w:ascii="ＭＳ ゴシック" w:hAnsi="ＭＳ ゴシック" w:eastAsia="ＭＳ ゴシック"/>
        </w:rPr>
        <w:t>）</w:t>
      </w:r>
    </w:p>
    <w:p>
      <w:pPr>
        <w:pStyle w:val="0"/>
        <w:ind w:left="429"/>
        <w:rPr>
          <w:rFonts w:hint="default"/>
        </w:rPr>
      </w:pPr>
      <w:r>
        <w:rPr>
          <w:rFonts w:hint="eastAsia"/>
        </w:rPr>
        <w:t>　行政による規制の設定又は改廃，事業の実施にあたり，行政機関が原案を公表し，市民から意見や情報の提出を求め，その意見等をもとに検討後，最終意思決定を行う制度のこと。</w:t>
      </w:r>
    </w:p>
    <w:p>
      <w:pPr>
        <w:pStyle w:val="0"/>
        <w:rPr>
          <w:rFonts w:hint="default"/>
        </w:rPr>
      </w:pPr>
      <w:r>
        <w:rPr>
          <w:rFonts w:hint="eastAsia" w:ascii="ＭＳ ゴシック" w:hAnsi="ＭＳ ゴシック" w:eastAsia="ＭＳ ゴシック"/>
        </w:rPr>
        <w:t>バリアフリー（</w:t>
      </w:r>
      <w:r>
        <w:rPr>
          <w:rFonts w:hint="eastAsia" w:ascii="ＭＳ ゴシック" w:hAnsi="ＭＳ ゴシック" w:eastAsia="ＭＳ ゴシック"/>
        </w:rPr>
        <w:t>Barrier</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free</w:t>
      </w:r>
      <w:r>
        <w:rPr>
          <w:rFonts w:hint="eastAsia" w:ascii="ＭＳ ゴシック" w:hAnsi="ＭＳ ゴシック" w:eastAsia="ＭＳ ゴシック"/>
        </w:rPr>
        <w:t>）</w:t>
      </w:r>
    </w:p>
    <w:p>
      <w:pPr>
        <w:pStyle w:val="0"/>
        <w:ind w:left="429"/>
        <w:rPr>
          <w:rFonts w:hint="default"/>
        </w:rPr>
      </w:pPr>
      <w:r>
        <w:rPr>
          <w:rFonts w:hint="eastAsia"/>
        </w:rPr>
        <w:t>　公共的建築物や道路，住宅などで，高齢者や障害者にも配慮された設計。</w:t>
      </w:r>
      <w:r>
        <w:rPr>
          <w:rFonts w:hint="eastAsia"/>
          <w:spacing w:val="-1"/>
        </w:rPr>
        <w:t xml:space="preserve"> </w:t>
      </w:r>
    </w:p>
    <w:p>
      <w:pPr>
        <w:pStyle w:val="0"/>
        <w:ind w:left="429"/>
        <w:rPr>
          <w:rFonts w:hint="default"/>
        </w:rPr>
      </w:pPr>
    </w:p>
    <w:p>
      <w:pPr>
        <w:pStyle w:val="0"/>
        <w:ind w:left="429" w:hanging="429"/>
        <w:rPr>
          <w:rFonts w:hint="default"/>
        </w:rPr>
      </w:pPr>
      <w:r>
        <w:rPr>
          <w:rFonts w:hint="eastAsia" w:ascii="ＭＳ ゴシック" w:hAnsi="ＭＳ ゴシック" w:eastAsia="ＭＳ ゴシック"/>
        </w:rPr>
        <w:t>パワーハラスメント</w:t>
      </w:r>
      <w:r>
        <w:rPr>
          <w:rFonts w:hint="eastAsia" w:ascii="ＭＳ ゴシック" w:hAnsi="ＭＳ ゴシック" w:eastAsia="ＭＳ ゴシック"/>
        </w:rPr>
        <w:t>(Power</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harassment)</w:t>
      </w:r>
    </w:p>
    <w:p>
      <w:pPr>
        <w:pStyle w:val="0"/>
        <w:ind w:left="429"/>
        <w:rPr>
          <w:rFonts w:hint="default"/>
        </w:rPr>
      </w:pPr>
      <w:r>
        <w:rPr>
          <w:rFonts w:hint="eastAsia"/>
        </w:rPr>
        <w:t>　権力や地位を利用した嫌がらせ。会社などで職権などの権力差（パワー）を背景にし，本来の業務の範疇を超えて継続的に，人格と尊厳を傷つける言動を行い，就労者の働く環境を悪化させる，あるいは雇用不安を与える行為である。</w:t>
      </w:r>
    </w:p>
    <w:p>
      <w:pPr>
        <w:pStyle w:val="0"/>
        <w:rPr>
          <w:rFonts w:hint="default"/>
        </w:rPr>
      </w:pPr>
    </w:p>
    <w:p>
      <w:pPr>
        <w:pStyle w:val="0"/>
        <w:rPr>
          <w:rFonts w:hint="default"/>
        </w:rPr>
      </w:pPr>
      <w:r>
        <w:rPr>
          <w:rFonts w:hint="eastAsia" w:ascii="ＭＳ ゴシック" w:hAnsi="ＭＳ ゴシック" w:eastAsia="ＭＳ ゴシック"/>
        </w:rPr>
        <w:t>ＰＤＣＡサイクル</w:t>
      </w:r>
    </w:p>
    <w:p>
      <w:pPr>
        <w:pStyle w:val="0"/>
        <w:ind w:left="429"/>
        <w:rPr>
          <w:rFonts w:hint="default"/>
        </w:rPr>
      </w:pPr>
      <w:r>
        <w:rPr>
          <w:rFonts w:hint="eastAsia"/>
        </w:rPr>
        <w:t>　ＰＤＣＡサイクルとは，計画</w:t>
      </w:r>
      <w:r>
        <w:rPr>
          <w:rFonts w:hint="eastAsia"/>
        </w:rPr>
        <w:t>(Plan)</w:t>
      </w:r>
      <w:r>
        <w:rPr>
          <w:rFonts w:hint="eastAsia"/>
        </w:rPr>
        <w:t>を実行（</w:t>
      </w:r>
      <w:r>
        <w:rPr>
          <w:rFonts w:hint="eastAsia"/>
        </w:rPr>
        <w:t>Do</w:t>
      </w:r>
      <w:r>
        <w:rPr>
          <w:rFonts w:hint="eastAsia"/>
        </w:rPr>
        <w:t>）し，評価（</w:t>
      </w:r>
      <w:r>
        <w:rPr>
          <w:rFonts w:hint="eastAsia"/>
        </w:rPr>
        <w:t>Check</w:t>
      </w:r>
      <w:r>
        <w:rPr>
          <w:rFonts w:hint="eastAsia"/>
        </w:rPr>
        <w:t>）して改善（</w:t>
      </w:r>
      <w:r>
        <w:rPr>
          <w:rFonts w:hint="eastAsia"/>
        </w:rPr>
        <w:t>Act</w:t>
      </w:r>
      <w:r>
        <w:rPr>
          <w:rFonts w:hint="eastAsia"/>
        </w:rPr>
        <w:t>）に結びつけ，その結果を次の計画に活かすプロセス。欧米ではこの考え方を体系化したデミング博士の名前をとって，デミングサイクルとも呼ばれている。</w:t>
      </w:r>
    </w:p>
    <w:p>
      <w:pPr>
        <w:pStyle w:val="0"/>
        <w:ind w:left="643" w:hanging="643" w:hangingChars="300"/>
        <w:rPr>
          <w:rFonts w:hint="default" w:ascii="ＭＳ ゴシック" w:hAnsi="ＭＳ ゴシック" w:eastAsia="ＭＳ ゴシック"/>
          <w:color w:val="FF0000"/>
        </w:rPr>
      </w:pPr>
    </w:p>
    <w:p>
      <w:pPr>
        <w:pStyle w:val="0"/>
        <w:ind w:left="643" w:hanging="643" w:hangingChars="300"/>
        <w:rPr>
          <w:rFonts w:hint="default" w:ascii="ＭＳ ゴシック" w:hAnsi="ＭＳ ゴシック" w:eastAsia="ＭＳ ゴシック"/>
          <w:color w:val="auto"/>
        </w:rPr>
      </w:pPr>
      <w:r>
        <w:rPr>
          <w:rFonts w:hint="eastAsia" w:ascii="ＭＳ ゴシック" w:hAnsi="ＭＳ ゴシック" w:eastAsia="ＭＳ ゴシック"/>
          <w:color w:val="auto"/>
        </w:rPr>
        <w:t>標準報酬</w:t>
      </w:r>
    </w:p>
    <w:p>
      <w:pPr>
        <w:pStyle w:val="0"/>
        <w:ind w:left="426" w:leftChars="199" w:firstLine="214" w:firstLineChars="100"/>
        <w:rPr>
          <w:rFonts w:hint="default" w:asciiTheme="minorEastAsia" w:hAnsiTheme="minorEastAsia" w:eastAsiaTheme="minorEastAsia"/>
          <w:color w:val="auto"/>
        </w:rPr>
      </w:pPr>
      <w:r>
        <w:rPr>
          <w:rFonts w:hint="eastAsia" w:asciiTheme="minorEastAsia" w:hAnsiTheme="minorEastAsia" w:eastAsiaTheme="minorEastAsia"/>
          <w:color w:val="auto"/>
        </w:rPr>
        <w:t>共済組合の短期，長期の掛金等，介護掛金，育児休業手当金，傷病手当金などの短期給付の給付額，厚生年金保険給付・退職等年金給付の額の算定の基礎となるものであり，組合員の受ける報酬月額（基本給＋諸手当）に基づき決定する。４月～６月の報酬（手当を含む）の平均額を標準報酬の等級に当てはめて標準報酬の月額を決定し，保険料（掛金負担金）・給付額等の算定基準とする。</w:t>
      </w:r>
    </w:p>
    <w:p>
      <w:pPr>
        <w:pStyle w:val="0"/>
        <w:ind w:left="643" w:hanging="643" w:hangingChars="300"/>
        <w:rPr>
          <w:rFonts w:hint="default" w:asciiTheme="minorEastAsia" w:hAnsiTheme="minorEastAsia" w:eastAsiaTheme="minorEastAsia"/>
          <w:color w:val="FF0000"/>
        </w:rPr>
      </w:pPr>
    </w:p>
    <w:p>
      <w:pPr>
        <w:pStyle w:val="0"/>
        <w:rPr>
          <w:rFonts w:hint="default"/>
        </w:rPr>
      </w:pPr>
      <w:r>
        <w:rPr>
          <w:rFonts w:hint="eastAsia" w:ascii="ＭＳ ゴシック" w:hAnsi="ＭＳ ゴシック" w:eastAsia="ＭＳ ゴシック"/>
        </w:rPr>
        <w:t>フォーラム（</w:t>
      </w:r>
      <w:r>
        <w:rPr>
          <w:rFonts w:hint="eastAsia" w:ascii="ＭＳ ゴシック" w:hAnsi="ＭＳ ゴシック" w:eastAsia="ＭＳ ゴシック"/>
        </w:rPr>
        <w:t>Forum</w:t>
      </w:r>
      <w:r>
        <w:rPr>
          <w:rFonts w:hint="eastAsia" w:ascii="ＭＳ ゴシック" w:hAnsi="ＭＳ ゴシック" w:eastAsia="ＭＳ ゴシック"/>
        </w:rPr>
        <w:t>）</w:t>
      </w:r>
    </w:p>
    <w:p>
      <w:pPr>
        <w:pStyle w:val="0"/>
        <w:ind w:left="429"/>
        <w:rPr>
          <w:rFonts w:hint="default"/>
        </w:rPr>
      </w:pPr>
      <w:r>
        <w:rPr>
          <w:rFonts w:hint="eastAsia"/>
        </w:rPr>
        <w:t>　フォーラム・ディスカッションの略。ひとつの問題提案について討論しあい，最後に多数決で賛否を決めるという討論会のひとつの形式。公開討論会。</w:t>
      </w:r>
      <w:r>
        <w:rPr>
          <w:rFonts w:hint="eastAsia"/>
          <w:spacing w:val="-1"/>
        </w:rPr>
        <w:t xml:space="preserve"> </w:t>
      </w:r>
    </w:p>
    <w:p>
      <w:pPr>
        <w:pStyle w:val="0"/>
        <w:rPr>
          <w:rFonts w:hint="default"/>
        </w:rPr>
      </w:pPr>
    </w:p>
    <w:p>
      <w:pPr>
        <w:pStyle w:val="0"/>
        <w:rPr>
          <w:rFonts w:hint="default"/>
        </w:rPr>
      </w:pPr>
      <w:r>
        <w:rPr>
          <w:rFonts w:hint="eastAsia" w:ascii="ＭＳ ゴシック" w:hAnsi="ＭＳ ゴシック" w:eastAsia="ＭＳ ゴシック"/>
        </w:rPr>
        <w:t>服　　務</w:t>
      </w:r>
    </w:p>
    <w:p>
      <w:pPr>
        <w:pStyle w:val="0"/>
        <w:ind w:left="429"/>
        <w:rPr>
          <w:rFonts w:hint="default" w:asciiTheme="minorEastAsia" w:hAnsiTheme="minorEastAsia" w:eastAsiaTheme="minorEastAsia"/>
        </w:rPr>
      </w:pPr>
      <w:r>
        <w:rPr>
          <w:rFonts w:hint="eastAsia" w:asciiTheme="minorEastAsia" w:hAnsiTheme="minorEastAsia" w:eastAsiaTheme="minorEastAsia"/>
        </w:rPr>
        <w:t>　「服務」とは，公務員の職務に服する義務のことをいう。その内容として，①職務の根本基準，②服務の宣誓，③法令及び上司の職務上の命令に従う義務，④信用失墜行為の禁止，⑤職務上知り得た秘密を守る義務，⑥職務に専念する義務，⑦政治的行為の制限，⑧営利企業等への従事制限などがある。</w:t>
      </w:r>
    </w:p>
    <w:p>
      <w:pPr>
        <w:pStyle w:val="0"/>
        <w:rPr>
          <w:rFonts w:hint="default"/>
        </w:rPr>
      </w:pPr>
    </w:p>
    <w:p>
      <w:pPr>
        <w:pStyle w:val="0"/>
        <w:rPr>
          <w:rFonts w:hint="default"/>
        </w:rPr>
      </w:pPr>
      <w:r>
        <w:rPr>
          <w:rFonts w:hint="eastAsia" w:ascii="ＭＳ ゴシック" w:hAnsi="ＭＳ ゴシック" w:eastAsia="ＭＳ ゴシック"/>
        </w:rPr>
        <w:t>扶助費</w:t>
      </w:r>
    </w:p>
    <w:p>
      <w:pPr>
        <w:pStyle w:val="0"/>
        <w:ind w:left="429"/>
        <w:rPr>
          <w:rFonts w:hint="default"/>
        </w:rPr>
      </w:pPr>
      <w:r>
        <w:rPr>
          <w:rFonts w:hint="eastAsia"/>
        </w:rPr>
        <w:t>　生活保護法，児童福祉法などの法令に基づいた生活保護費や児童手当などの支給や，市町が単独で行う各種扶助のための経費。</w:t>
      </w:r>
    </w:p>
    <w:p>
      <w:pPr>
        <w:pStyle w:val="0"/>
        <w:ind w:left="429"/>
        <w:rPr>
          <w:rFonts w:hint="default"/>
        </w:rPr>
      </w:pPr>
    </w:p>
    <w:p>
      <w:pPr>
        <w:pStyle w:val="0"/>
        <w:rPr>
          <w:rFonts w:hint="default"/>
        </w:rPr>
      </w:pPr>
      <w:r>
        <w:rPr>
          <w:rFonts w:hint="eastAsia" w:ascii="ＭＳ ゴシック" w:hAnsi="ＭＳ ゴシック" w:eastAsia="ＭＳ ゴシック"/>
        </w:rPr>
        <w:t>「法定控除金」と「法定外控除金」</w:t>
      </w:r>
    </w:p>
    <w:p>
      <w:pPr>
        <w:pStyle w:val="0"/>
        <w:ind w:left="429"/>
        <w:rPr>
          <w:rFonts w:hint="default"/>
        </w:rPr>
      </w:pPr>
      <w:r>
        <w:rPr>
          <w:rFonts w:hint="eastAsia"/>
          <w:spacing w:val="-1"/>
        </w:rPr>
        <w:t xml:space="preserve">  </w:t>
      </w:r>
      <w:r>
        <w:rPr>
          <w:rFonts w:hint="eastAsia"/>
        </w:rPr>
        <w:t>「法定控除金」とは，所得税，住民税，財形貯蓄，共済・互助会の掛金及び貸付金の合計をいい，「法定外控除金」とは，法定控除金以外の学校生協購入物資支払金，生協扱い団体保険や教職員共済掛金，組合費，校内引去り等の合計をいう。</w:t>
      </w:r>
    </w:p>
    <w:p>
      <w:pPr>
        <w:pStyle w:val="0"/>
        <w:ind w:left="429"/>
        <w:rPr>
          <w:rFonts w:hint="default"/>
        </w:rPr>
      </w:pPr>
    </w:p>
    <w:p>
      <w:pPr>
        <w:pStyle w:val="0"/>
        <w:ind w:left="429"/>
        <w:rPr>
          <w:rFonts w:hint="default"/>
        </w:rPr>
      </w:pPr>
    </w:p>
    <w:p>
      <w:pPr>
        <w:pStyle w:val="0"/>
        <w:rPr>
          <w:rFonts w:hint="default"/>
        </w:rPr>
      </w:pPr>
      <w:r>
        <w:rPr>
          <w:rFonts w:hint="eastAsia" w:ascii="ＭＳ ゴシック" w:hAnsi="ＭＳ ゴシック" w:eastAsia="ＭＳ ゴシック"/>
        </w:rPr>
        <w:t>「法令」と「法例」</w:t>
      </w:r>
    </w:p>
    <w:p>
      <w:pPr>
        <w:pStyle w:val="0"/>
        <w:ind w:left="429"/>
        <w:rPr>
          <w:rFonts w:hint="default"/>
        </w:rPr>
      </w:pPr>
      <w:r>
        <w:rPr>
          <w:rFonts w:hint="eastAsia"/>
        </w:rPr>
        <w:t>　「法令」は，普通，法律と命令を併せて呼ぶ場合に使われる。国会によって制定される形式的意味の法律と，行政機関によって制定される政令，省令などの命令をさす。ときとして，地方公共団体の条例，規則や裁判所の規則を含める場合などもある。「法例」は，法規の適用関係に関して，その諸原理を定めたものである。現在は，多くの場合，総則又は通則の中に規定される。</w:t>
      </w:r>
    </w:p>
    <w:p>
      <w:pPr>
        <w:pStyle w:val="0"/>
        <w:rPr>
          <w:rFonts w:hint="default"/>
        </w:rPr>
      </w:pPr>
    </w:p>
    <w:p>
      <w:pPr>
        <w:pStyle w:val="0"/>
        <w:rPr>
          <w:rFonts w:hint="default"/>
        </w:rPr>
      </w:pPr>
      <w:r>
        <w:rPr>
          <w:rFonts w:hint="eastAsia" w:ascii="ＭＳ ゴシック" w:hAnsi="ＭＳ ゴシック" w:eastAsia="ＭＳ ゴシック"/>
        </w:rPr>
        <w:t>骨太の方針</w:t>
      </w:r>
    </w:p>
    <w:p>
      <w:pPr>
        <w:pStyle w:val="0"/>
        <w:ind w:left="429"/>
        <w:rPr>
          <w:rFonts w:hint="default"/>
        </w:rPr>
      </w:pPr>
      <w:r>
        <w:rPr>
          <w:rFonts w:hint="eastAsia"/>
        </w:rPr>
        <w:t>　政府の経済財政諮問会議が策定する長期的に取り組む構造改革の基本的な方針。平成</w:t>
      </w:r>
      <w:r>
        <w:rPr>
          <w:rFonts w:hint="eastAsia"/>
        </w:rPr>
        <w:t>13</w:t>
      </w:r>
      <w:r>
        <w:rPr>
          <w:rFonts w:hint="eastAsia"/>
        </w:rPr>
        <w:t>年６月に答申された「経済財政運営と構造改革に関する基本方針」に際して，小泉首相が，聖域なき構造改革とともにキャッチフレーズ的に使用し，一般国民に浸透させた言葉であり，その後の内閣でも同様に策定されている。</w:t>
      </w:r>
    </w:p>
    <w:p>
      <w:pPr>
        <w:pStyle w:val="0"/>
        <w:ind w:left="429"/>
        <w:rPr>
          <w:rFonts w:hint="default"/>
        </w:rPr>
      </w:pPr>
    </w:p>
    <w:p>
      <w:pPr>
        <w:pStyle w:val="0"/>
        <w:spacing w:line="315" w:lineRule="exact"/>
        <w:rPr>
          <w:rFonts w:hint="default"/>
        </w:rPr>
      </w:pPr>
      <w:r>
        <w:rPr>
          <w:rFonts w:hint="eastAsia" w:ascii="ＭＳ ゴシック" w:hAnsi="ＭＳ ゴシック" w:eastAsia="ＭＳ ゴシック"/>
        </w:rPr>
        <w:t>「本則」と「附則」</w:t>
      </w:r>
    </w:p>
    <w:p>
      <w:pPr>
        <w:pStyle w:val="0"/>
        <w:spacing w:line="315" w:lineRule="exact"/>
        <w:ind w:left="429"/>
        <w:rPr>
          <w:rFonts w:hint="default"/>
        </w:rPr>
      </w:pPr>
      <w:r>
        <w:rPr>
          <w:rFonts w:hint="eastAsia"/>
          <w:spacing w:val="-1"/>
        </w:rPr>
        <w:t xml:space="preserve">  </w:t>
      </w:r>
      <w:r>
        <w:rPr>
          <w:rFonts w:hint="eastAsia"/>
        </w:rPr>
        <w:t>「本則」とは，法令の本体的部分をいい，「附則」とは，本則に付属して施行期日，経過的措置，関連法令の改廃措置等を規定した付帯的部分をいう。</w:t>
      </w:r>
    </w:p>
    <w:p>
      <w:pPr>
        <w:pStyle w:val="0"/>
        <w:rPr>
          <w:rFonts w:hint="default"/>
        </w:rPr>
      </w:pPr>
    </w:p>
    <w:p>
      <w:pPr>
        <w:pStyle w:val="0"/>
        <w:rPr>
          <w:rFonts w:hint="default"/>
        </w:rPr>
      </w:pPr>
      <w:r>
        <w:rPr>
          <w:rFonts w:hint="eastAsia" w:ascii="ＭＳ ゴシック" w:hAnsi="ＭＳ ゴシック" w:eastAsia="ＭＳ ゴシック"/>
        </w:rPr>
        <w:t>＜マ行＞</w:t>
      </w:r>
    </w:p>
    <w:p>
      <w:pPr>
        <w:pStyle w:val="0"/>
        <w:rPr>
          <w:rFonts w:hint="default"/>
        </w:rPr>
      </w:pPr>
      <w:r>
        <w:rPr>
          <w:rFonts w:hint="eastAsia"/>
          <w:spacing w:val="-1"/>
        </w:rPr>
        <w:t xml:space="preserve"> </w:t>
      </w:r>
      <w:r>
        <w:rPr>
          <w:rFonts w:hint="eastAsia" w:ascii="ＭＳ ゴシック" w:hAnsi="ＭＳ ゴシック" w:eastAsia="ＭＳ ゴシック"/>
        </w:rPr>
        <w:t>マイナンバー制度</w:t>
      </w:r>
      <w:r>
        <w:rPr>
          <w:rFonts w:hint="eastAsia" w:ascii="ＭＳ ゴシック" w:hAnsi="ＭＳ ゴシック" w:eastAsia="ＭＳ ゴシック"/>
          <w:spacing w:val="-1"/>
        </w:rPr>
        <w:t xml:space="preserve"> </w:t>
      </w:r>
    </w:p>
    <w:p>
      <w:pPr>
        <w:pStyle w:val="0"/>
        <w:ind w:left="429" w:firstLine="214" w:firstLineChars="100"/>
        <w:rPr>
          <w:rFonts w:hint="default"/>
        </w:rPr>
      </w:pPr>
      <w:r>
        <w:rPr>
          <w:rFonts w:hint="eastAsia"/>
        </w:rPr>
        <w:t>「行政手続きにおける特定の個人を識別するための番号の利用等に関する法律」に基づき，導入された制度で，日本に住民票のあるすべての国民に</w:t>
      </w:r>
      <w:r>
        <w:rPr>
          <w:rFonts w:hint="eastAsia"/>
        </w:rPr>
        <w:t>1</w:t>
      </w:r>
      <w:r>
        <w:rPr>
          <w:rFonts w:hint="default"/>
        </w:rPr>
        <w:t>2</w:t>
      </w:r>
      <w:r>
        <w:rPr>
          <w:rFonts w:hint="eastAsia"/>
        </w:rPr>
        <w:t>桁の番号が割り振られ，税や年金，雇用保険等の行政手続きをスムーズに行おうとするものである。</w:t>
      </w:r>
    </w:p>
    <w:p>
      <w:pPr>
        <w:pStyle w:val="0"/>
        <w:ind w:left="429"/>
        <w:rPr>
          <w:rFonts w:hint="default"/>
        </w:rPr>
      </w:pPr>
    </w:p>
    <w:p>
      <w:pPr>
        <w:pStyle w:val="0"/>
        <w:rPr>
          <w:rFonts w:hint="default"/>
        </w:rPr>
      </w:pPr>
      <w:r>
        <w:rPr>
          <w:rFonts w:hint="eastAsia" w:ascii="ＭＳ ゴシック" w:hAnsi="ＭＳ ゴシック" w:eastAsia="ＭＳ ゴシック"/>
        </w:rPr>
        <w:t>「又は」と「若しくは」</w:t>
      </w:r>
    </w:p>
    <w:p>
      <w:pPr>
        <w:pStyle w:val="0"/>
        <w:ind w:left="429"/>
        <w:rPr>
          <w:rFonts w:hint="default"/>
        </w:rPr>
      </w:pPr>
      <w:r>
        <w:rPr>
          <w:rFonts w:hint="eastAsia"/>
          <w:spacing w:val="-1"/>
        </w:rPr>
        <w:t xml:space="preserve">  </w:t>
      </w:r>
      <w:r>
        <w:rPr>
          <w:rFonts w:hint="eastAsia"/>
        </w:rPr>
        <w:t>どちらも選択的接続詞で，日常用語としては用法上に差はないが，法令用語としては，厳格に区別して用いられる。</w:t>
      </w:r>
    </w:p>
    <w:p>
      <w:pPr>
        <w:pStyle w:val="0"/>
        <w:ind w:left="429"/>
        <w:rPr>
          <w:rFonts w:hint="default"/>
        </w:rPr>
      </w:pPr>
      <w:r>
        <w:rPr>
          <w:rFonts w:hint="eastAsia"/>
        </w:rPr>
        <w:t>　２つ以上のことばを単純に並列にする場合は，「法令，命令又は規則」というように「又は」が使われる。</w:t>
      </w:r>
    </w:p>
    <w:p>
      <w:pPr>
        <w:pStyle w:val="0"/>
        <w:ind w:left="429"/>
        <w:rPr>
          <w:rFonts w:hint="default"/>
        </w:rPr>
      </w:pPr>
      <w:r>
        <w:rPr>
          <w:rFonts w:hint="eastAsia"/>
        </w:rPr>
        <w:t>　選択的接続が２段階になる場合は，小さい接続には「若しくは」を使い，大きい接続には「又は」を使う。「国若しくは地方公共団体の公務員又は公共企業体の役員若しくは職員」というように用いる。</w:t>
      </w:r>
    </w:p>
    <w:p>
      <w:pPr>
        <w:pStyle w:val="0"/>
        <w:ind w:left="429"/>
        <w:rPr>
          <w:rFonts w:hint="default"/>
        </w:rPr>
      </w:pPr>
      <w:r>
        <w:rPr>
          <w:rFonts w:hint="eastAsia"/>
        </w:rPr>
        <w:t>　接続の段階が３つ以上になる場合は，一番大きい接続だけに「又は」を用い，それより小さい接続は，何段階あっても「若しくは」でつなぐことになっている。</w:t>
      </w:r>
    </w:p>
    <w:p>
      <w:pPr>
        <w:pStyle w:val="0"/>
        <w:rPr>
          <w:rFonts w:hint="default"/>
        </w:rPr>
      </w:pPr>
    </w:p>
    <w:p>
      <w:pPr>
        <w:pStyle w:val="0"/>
        <w:rPr>
          <w:rFonts w:hint="default"/>
        </w:rPr>
      </w:pPr>
      <w:r>
        <w:rPr>
          <w:rFonts w:hint="eastAsia" w:ascii="ＭＳ ゴシック" w:hAnsi="ＭＳ ゴシック" w:eastAsia="ＭＳ ゴシック"/>
        </w:rPr>
        <w:t>メンタルヘルス（</w:t>
      </w:r>
      <w:r>
        <w:rPr>
          <w:rFonts w:hint="eastAsia" w:ascii="ＭＳ ゴシック" w:hAnsi="ＭＳ ゴシック" w:eastAsia="ＭＳ ゴシック"/>
        </w:rPr>
        <w:t>Mental</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health</w:t>
      </w:r>
      <w:r>
        <w:rPr>
          <w:rFonts w:hint="eastAsia" w:ascii="ＭＳ ゴシック" w:hAnsi="ＭＳ ゴシック" w:eastAsia="ＭＳ ゴシック"/>
        </w:rPr>
        <w:t>）</w:t>
      </w:r>
      <w:r>
        <w:rPr>
          <w:rFonts w:hint="eastAsia" w:ascii="ＭＳ ゴシック" w:hAnsi="ＭＳ ゴシック" w:eastAsia="ＭＳ ゴシック"/>
          <w:spacing w:val="-1"/>
        </w:rPr>
        <w:t xml:space="preserve"> </w:t>
      </w:r>
    </w:p>
    <w:p>
      <w:pPr>
        <w:pStyle w:val="0"/>
        <w:ind w:left="429"/>
        <w:rPr>
          <w:rFonts w:hint="default"/>
        </w:rPr>
      </w:pPr>
      <w:r>
        <w:rPr>
          <w:rFonts w:hint="eastAsia"/>
          <w:spacing w:val="-1"/>
        </w:rPr>
        <w:t xml:space="preserve">  </w:t>
      </w:r>
      <w:r>
        <w:rPr>
          <w:rFonts w:hint="eastAsia"/>
        </w:rPr>
        <w:t>心の健康管理をいう。技術の高度化，組織の複雑化，競争原理の強化等が進むにつれ人々の環境への適用が困難になってきており，日常の仕事や生活において心身に不調を訴える人が多くなっている。このため産業界や労働組合でも身体の健康とあわせ心身の健康に着目したメンタルヘルスを重要な課題として取り組みを進めているところが多くなっている。</w:t>
      </w:r>
      <w:r>
        <w:rPr>
          <w:rFonts w:hint="eastAsia"/>
          <w:spacing w:val="-1"/>
        </w:rPr>
        <w:t xml:space="preserve"> </w:t>
      </w:r>
    </w:p>
    <w:p>
      <w:pPr>
        <w:pStyle w:val="0"/>
        <w:rPr>
          <w:rFonts w:hint="default"/>
        </w:rPr>
      </w:pPr>
      <w:bookmarkStart w:id="0" w:name="_GoBack"/>
      <w:bookmarkEnd w:id="0"/>
    </w:p>
    <w:p>
      <w:pPr>
        <w:pStyle w:val="0"/>
        <w:rPr>
          <w:rFonts w:hint="default"/>
        </w:rPr>
      </w:pPr>
    </w:p>
    <w:p>
      <w:pPr>
        <w:pStyle w:val="0"/>
        <w:rPr>
          <w:rFonts w:hint="default"/>
        </w:rPr>
      </w:pPr>
      <w:r>
        <w:rPr>
          <w:rFonts w:hint="eastAsia" w:ascii="ＭＳ ゴシック" w:hAnsi="ＭＳ ゴシック" w:eastAsia="ＭＳ ゴシック"/>
        </w:rPr>
        <w:t>「者」と「もの」「物」</w:t>
      </w:r>
    </w:p>
    <w:p>
      <w:pPr>
        <w:pStyle w:val="0"/>
        <w:ind w:left="429"/>
        <w:rPr>
          <w:rFonts w:hint="default"/>
        </w:rPr>
      </w:pPr>
      <w:r>
        <w:rPr>
          <w:rFonts w:hint="eastAsia"/>
          <w:spacing w:val="-1"/>
        </w:rPr>
        <w:t xml:space="preserve">  </w:t>
      </w:r>
      <w:r>
        <w:rPr>
          <w:rFonts w:hint="eastAsia"/>
        </w:rPr>
        <w:t>法律上の人格を有するものの単数又は複数を表す場合には法令上，「者」を使う。</w:t>
      </w:r>
    </w:p>
    <w:p>
      <w:pPr>
        <w:pStyle w:val="0"/>
        <w:ind w:left="429"/>
        <w:rPr>
          <w:rFonts w:hint="default"/>
        </w:rPr>
      </w:pPr>
      <w:r>
        <w:rPr>
          <w:rFonts w:hint="eastAsia"/>
        </w:rPr>
        <w:t>　ある行為とか利益等の主体となるものが，社団，財団の場合及び人格のない団体と人格を有するものの双方を含んでいる場合には，「もの」を使う。</w:t>
      </w:r>
    </w:p>
    <w:p>
      <w:pPr>
        <w:pStyle w:val="0"/>
        <w:ind w:left="429"/>
        <w:rPr>
          <w:rFonts w:hint="default"/>
        </w:rPr>
      </w:pPr>
      <w:r>
        <w:rPr>
          <w:rFonts w:hint="eastAsia"/>
        </w:rPr>
        <w:t>　また，外界の一部をなす物件を表す場合には，「物」を使うが，法令用語としては必ずしも有体物には限らない。</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＜ヤ行＞</w:t>
      </w:r>
    </w:p>
    <w:p>
      <w:pPr>
        <w:pStyle w:val="0"/>
        <w:spacing w:line="315" w:lineRule="exact"/>
        <w:rPr>
          <w:rFonts w:hint="default"/>
        </w:rPr>
      </w:pPr>
      <w:r>
        <w:rPr>
          <w:rFonts w:hint="eastAsia" w:ascii="ＭＳ ゴシック" w:hAnsi="ＭＳ ゴシック" w:eastAsia="ＭＳ ゴシック"/>
        </w:rPr>
        <w:t>ユニバーサルデザイン（</w:t>
      </w:r>
      <w:r>
        <w:rPr>
          <w:rFonts w:hint="eastAsia" w:ascii="ＭＳ ゴシック" w:hAnsi="ＭＳ ゴシック" w:eastAsia="ＭＳ ゴシック"/>
        </w:rPr>
        <w:t>Universal</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Design</w:t>
      </w:r>
      <w:r>
        <w:rPr>
          <w:rFonts w:hint="eastAsia" w:ascii="ＭＳ ゴシック" w:hAnsi="ＭＳ ゴシック" w:eastAsia="ＭＳ ゴシック"/>
        </w:rPr>
        <w:t>）</w:t>
      </w:r>
    </w:p>
    <w:p>
      <w:pPr>
        <w:pStyle w:val="0"/>
        <w:spacing w:line="315" w:lineRule="exact"/>
        <w:ind w:left="429"/>
        <w:rPr>
          <w:rFonts w:hint="default"/>
        </w:rPr>
      </w:pPr>
      <w:r>
        <w:rPr>
          <w:rFonts w:hint="eastAsia"/>
        </w:rPr>
        <w:t>　社会に障壁（バリア）がないようにはじめから考慮して，いつでも誰でもが使いやすいものとするデザイン。　</w:t>
      </w:r>
    </w:p>
    <w:p>
      <w:pPr>
        <w:pStyle w:val="0"/>
        <w:spacing w:line="315" w:lineRule="exact"/>
        <w:ind w:left="429"/>
        <w:rPr>
          <w:rFonts w:hint="default"/>
        </w:rPr>
      </w:pPr>
    </w:p>
    <w:p>
      <w:pPr>
        <w:pStyle w:val="0"/>
        <w:spacing w:line="315" w:lineRule="exact"/>
        <w:rPr>
          <w:rFonts w:hint="default"/>
        </w:rPr>
      </w:pPr>
      <w:r>
        <w:rPr>
          <w:rFonts w:hint="eastAsia" w:ascii="ＭＳ ゴシック" w:hAnsi="ＭＳ ゴシック" w:eastAsia="ＭＳ ゴシック"/>
        </w:rPr>
        <w:t>＜ラ行＞</w:t>
      </w:r>
    </w:p>
    <w:p>
      <w:pPr>
        <w:pStyle w:val="0"/>
        <w:spacing w:line="315" w:lineRule="exact"/>
        <w:rPr>
          <w:rFonts w:hint="default"/>
        </w:rPr>
      </w:pPr>
      <w:r>
        <w:rPr>
          <w:rFonts w:hint="eastAsia" w:ascii="ＭＳ ゴシック" w:hAnsi="ＭＳ ゴシック" w:eastAsia="ＭＳ ゴシック"/>
        </w:rPr>
        <w:t>稟議書（りんぎしょ）</w:t>
      </w:r>
    </w:p>
    <w:p>
      <w:pPr>
        <w:pStyle w:val="0"/>
        <w:spacing w:line="315" w:lineRule="exact"/>
        <w:ind w:left="429"/>
        <w:rPr>
          <w:rFonts w:hint="default"/>
        </w:rPr>
      </w:pPr>
      <w:r>
        <w:rPr>
          <w:rFonts w:hint="eastAsia"/>
        </w:rPr>
        <w:t>　重要な案件（主に会計上）を合議の上，決定を得るための一定の文書。</w:t>
      </w:r>
    </w:p>
    <w:p>
      <w:pPr>
        <w:pStyle w:val="0"/>
        <w:spacing w:line="315" w:lineRule="exact"/>
        <w:rPr>
          <w:rFonts w:hint="default"/>
        </w:rPr>
      </w:pPr>
    </w:p>
    <w:p>
      <w:pPr>
        <w:pStyle w:val="0"/>
        <w:spacing w:line="315" w:lineRule="exact"/>
        <w:rPr>
          <w:rFonts w:hint="default"/>
        </w:rPr>
      </w:pPr>
      <w:r>
        <w:rPr>
          <w:rFonts w:hint="eastAsia" w:ascii="ＭＳ ゴシック" w:hAnsi="ＭＳ ゴシック" w:eastAsia="ＭＳ ゴシック"/>
        </w:rPr>
        <w:t>＜ワ行＞</w:t>
      </w:r>
    </w:p>
    <w:p>
      <w:pPr>
        <w:pStyle w:val="0"/>
        <w:spacing w:line="315" w:lineRule="exact"/>
        <w:rPr>
          <w:rFonts w:hint="default"/>
        </w:rPr>
      </w:pPr>
      <w:r>
        <w:rPr>
          <w:rFonts w:hint="eastAsia" w:ascii="ＭＳ ゴシック" w:hAnsi="ＭＳ ゴシック" w:eastAsia="ＭＳ ゴシック"/>
        </w:rPr>
        <w:t>ワークショップ（</w:t>
      </w:r>
      <w:r>
        <w:rPr>
          <w:rFonts w:hint="eastAsia" w:ascii="ＭＳ ゴシック" w:hAnsi="ＭＳ ゴシック" w:eastAsia="ＭＳ ゴシック"/>
        </w:rPr>
        <w:t>Workshop</w:t>
      </w:r>
      <w:r>
        <w:rPr>
          <w:rFonts w:hint="eastAsia" w:ascii="ＭＳ ゴシック" w:hAnsi="ＭＳ ゴシック" w:eastAsia="ＭＳ ゴシック"/>
        </w:rPr>
        <w:t>）</w:t>
      </w:r>
    </w:p>
    <w:p>
      <w:pPr>
        <w:pStyle w:val="0"/>
        <w:spacing w:line="315" w:lineRule="exact"/>
        <w:ind w:left="429"/>
        <w:rPr>
          <w:rFonts w:hint="default"/>
        </w:rPr>
      </w:pPr>
      <w:r>
        <w:rPr>
          <w:rFonts w:hint="eastAsia"/>
        </w:rPr>
        <w:t>　研究集会。専門家の助言を受けながら，参加者が共同で研究や創作を行う場。「参加型講習会」とも言い換えられる。</w:t>
      </w:r>
      <w:r>
        <w:rPr>
          <w:rFonts w:hint="eastAsia"/>
          <w:spacing w:val="-1"/>
        </w:rPr>
        <w:t xml:space="preserve"> </w:t>
      </w:r>
    </w:p>
    <w:p>
      <w:pPr>
        <w:pStyle w:val="0"/>
        <w:spacing w:line="315" w:lineRule="exact"/>
        <w:ind w:left="429"/>
        <w:rPr>
          <w:rFonts w:hint="default"/>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3071495</wp:posOffset>
                </wp:positionH>
                <wp:positionV relativeFrom="paragraph">
                  <wp:posOffset>4914265</wp:posOffset>
                </wp:positionV>
                <wp:extent cx="533400" cy="25717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50</w:t>
                            </w:r>
                            <w:r>
                              <w:rPr>
                                <w:rFonts w:hint="eastAsia"/>
                              </w:rPr>
                              <w:t>の</w:t>
                            </w:r>
                            <w:r>
                              <w:rPr>
                                <w:rFonts w:hint="eastAsia"/>
                              </w:rPr>
                              <w:t>2</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386.95pt;mso-position-vertical-relative:text;mso-position-horizontal-relative:text;position:absolute;height:20.25pt;mso-wrap-distance-top:0pt;width:42pt;mso-wrap-distance-left:5.65pt;margin-left:241.85pt;z-index:3;" o:spid="_x0000_s1027" o:allowincell="t" o:allowoverlap="t" filled="t" fillcolor="#ffffff [3212]"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rPr>
                        <w:t>50</w:t>
                      </w:r>
                      <w:r>
                        <w:rPr>
                          <w:rFonts w:hint="eastAsia"/>
                        </w:rPr>
                        <w:t>の</w:t>
                      </w:r>
                      <w:r>
                        <w:rPr>
                          <w:rFonts w:hint="eastAsia"/>
                        </w:rPr>
                        <w:t>2</w:t>
                      </w: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tabs>
          <w:tab w:val="left" w:leader="none" w:pos="7954"/>
        </w:tabs>
        <w:rPr>
          <w:rFonts w:hint="default"/>
        </w:rPr>
      </w:pPr>
      <w:r>
        <w:rPr>
          <w:rFonts w:hint="eastAsia"/>
        </w:rPr>
        <w:tab/>
      </w:r>
    </w:p>
    <w:p>
      <w:pPr>
        <w:pStyle w:val="0"/>
        <w:rPr>
          <w:rFonts w:hint="default"/>
        </w:rPr>
      </w:pPr>
      <w:r>
        <w:rPr>
          <w:rFonts w:hint="eastAsia"/>
        </w:rPr>
        <w:br w:type="page"/>
      </w:r>
    </w:p>
    <w:p>
      <w:pPr>
        <w:pStyle w:val="0"/>
        <w:spacing w:line="315" w:lineRule="exact"/>
        <w:ind w:left="429"/>
        <w:rPr>
          <w:rFonts w:hint="default"/>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3033395</wp:posOffset>
                </wp:positionH>
                <wp:positionV relativeFrom="paragraph">
                  <wp:posOffset>9046845</wp:posOffset>
                </wp:positionV>
                <wp:extent cx="533400" cy="25717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50</w:t>
                            </w:r>
                            <w:r>
                              <w:rPr>
                                <w:rFonts w:hint="eastAsia"/>
                              </w:rPr>
                              <w:t>の</w:t>
                            </w:r>
                            <w:r>
                              <w:rPr>
                                <w:rFonts w:hint="eastAsia"/>
                              </w:rPr>
                              <w:t>3</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712.35pt;mso-position-vertical-relative:text;mso-position-horizontal-relative:text;position:absolute;height:20.25pt;mso-wrap-distance-top:0pt;width:42pt;mso-wrap-distance-left:5.65pt;margin-left:238.85pt;z-index:4;" o:spid="_x0000_s1028" o:allowincell="t" o:allowoverlap="t" filled="t" fillcolor="#ffffff [3212]" stroked="f" strokeweight="0.5pt" o:spt="202" type="#_x0000_t202">
                <v:fill/>
                <v:stroke linestyle="single"/>
                <v:textbox style="layout-flow:horizontal;" inset="2.0637499999999998mm,0.24694444444444438mm,2.0637499999999998mm,0.24694444444444438mm">
                  <w:txbxContent>
                    <w:p>
                      <w:pPr>
                        <w:pStyle w:val="0"/>
                        <w:rPr>
                          <w:rFonts w:hint="eastAsia"/>
                        </w:rPr>
                      </w:pPr>
                      <w:r>
                        <w:rPr>
                          <w:rFonts w:hint="eastAsia"/>
                        </w:rPr>
                        <w:t>50</w:t>
                      </w:r>
                      <w:r>
                        <w:rPr>
                          <w:rFonts w:hint="eastAsia"/>
                        </w:rPr>
                        <w:t>の</w:t>
                      </w:r>
                      <w:r>
                        <w:rPr>
                          <w:rFonts w:hint="eastAsia"/>
                        </w:rPr>
                        <w:t>3</w:t>
                      </w:r>
                    </w:p>
                  </w:txbxContent>
                </v:textbox>
                <v:imagedata o:title=""/>
                <w10:wrap type="none" anchorx="text" anchory="text"/>
              </v:shape>
            </w:pict>
          </mc:Fallback>
        </mc:AlternateContent>
      </w:r>
    </w:p>
    <w:sectPr>
      <w:headerReference r:id="rId5" w:type="even"/>
      <w:headerReference r:id="rId6" w:type="default"/>
      <w:footerReference r:id="rId7" w:type="even"/>
      <w:footerReference r:id="rId8" w:type="default"/>
      <w:footnotePr>
        <w:numRestart w:val="eachPage"/>
      </w:footnotePr>
      <w:endnotePr>
        <w:numFmt w:val="decimal"/>
      </w:endnotePr>
      <w:pgSz w:w="11906" w:h="16838"/>
      <w:pgMar w:top="1417" w:right="1134" w:bottom="1417" w:left="1134" w:header="567" w:footer="850" w:gutter="0"/>
      <w:pgNumType w:start="36"/>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center" w:leader="none" w:pos="4819"/>
        <w:tab w:val="left" w:leader="none" w:pos="5900"/>
      </w:tabs>
      <w:jc w:val="left"/>
      <w:rPr>
        <w:rFonts w:hint="default"/>
      </w:rPr>
    </w:pPr>
    <w:r>
      <w:rPr>
        <w:rFonts w:hint="default"/>
      </w:rPr>
      <w:tab/>
    </w:r>
    <w:r>
      <w:rPr>
        <w:rFonts w:hint="eastAsia"/>
      </w:rPr>
      <w:t xml:space="preserve">5 - </w:t>
    </w:r>
    <w:r>
      <w:rPr>
        <w:rFonts w:hint="eastAsia"/>
      </w:rPr>
      <w:fldChar w:fldCharType="begin"/>
    </w:r>
    <w:r>
      <w:rPr>
        <w:rFonts w:hint="eastAsia"/>
      </w:rPr>
      <w:instrText xml:space="preserve">PAGE  \* MERGEFORMAT </w:instrText>
    </w:r>
    <w:r>
      <w:rPr>
        <w:rFonts w:hint="eastAsia"/>
      </w:rPr>
      <w:fldChar w:fldCharType="separate"/>
    </w:r>
    <w:r>
      <w:rPr>
        <w:rFonts w:hint="eastAsia"/>
      </w:rPr>
      <w:t>52</w:t>
    </w:r>
    <w:r>
      <w:rPr>
        <w:rFonts w:hint="eastAsia"/>
      </w:rPr>
      <w:fldChar w:fldCharType="end"/>
    </w:r>
    <w:r>
      <w:rPr>
        <w:rFonts w:hint="default"/>
      </w:rPr>
      <w:tab/>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rPr>
    </w:pPr>
    <w:r>
      <w:rPr>
        <w:rFonts w:hint="eastAsia"/>
      </w:rPr>
      <w:t>5 -</w:t>
    </w:r>
    <w:sdt>
      <w:sdtPr>
        <w:rPr>
          <w:rFonts w:hint="eastAsia"/>
        </w:rPr>
        <w:lock w:val="unlocked"/>
        <w:docPartObj>
          <w:docPartGallery w:val="Page Numbers (Bottom of Page)"/>
          <w:docPartUnique/>
        </w:docPartObj>
      </w:sdtPr>
      <w:sdtEndPr>
        <w:rPr>
          <w:rFonts w:hint="eastAsia"/>
        </w:rPr>
      </w:sdtEndPr>
      <w:sdtContent>
        <w:r>
          <w:rPr>
            <w:rFonts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28"/>
            <w:rFonts w:hint="eastAsia"/>
          </w:rPr>
          <w:t>51</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jc w:val="left"/>
      <w:rPr>
        <w:rFonts w:hint="default"/>
      </w:rPr>
    </w:pPr>
    <w:r>
      <w:rPr>
        <w:rFonts w:hint="eastAsia"/>
      </w:rPr>
      <w:t>５－２　関連用語の解説</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jc w:val="right"/>
      <w:rPr>
        <w:rFonts w:hint="default"/>
      </w:rPr>
    </w:pPr>
    <w:r>
      <w:rPr>
        <w:rFonts w:hint="eastAsia"/>
      </w:rPr>
      <w:t>５－２　関連用語の解説</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57"/>
  <w:hyphenationZone w:val="0"/>
  <w:evenAndOddHeaders/>
  <w:drawingGridHorizontalSpacing w:val="107"/>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ランクスタイル１"/>
    <w:basedOn w:val="0"/>
    <w:next w:val="15"/>
    <w:link w:val="0"/>
    <w:uiPriority w:val="0"/>
  </w:style>
  <w:style w:type="paragraph" w:styleId="16" w:customStyle="1">
    <w:name w:val="一太郎ランクスタイル２"/>
    <w:basedOn w:val="0"/>
    <w:next w:val="16"/>
    <w:link w:val="0"/>
    <w:uiPriority w:val="0"/>
  </w:style>
  <w:style w:type="paragraph" w:styleId="17" w:customStyle="1">
    <w:name w:val="一太郎ランクスタイル３"/>
    <w:basedOn w:val="0"/>
    <w:next w:val="17"/>
    <w:link w:val="0"/>
    <w:uiPriority w:val="0"/>
  </w:style>
  <w:style w:type="paragraph" w:styleId="18" w:customStyle="1">
    <w:name w:val="一太郎ランクスタイル４"/>
    <w:basedOn w:val="0"/>
    <w:next w:val="18"/>
    <w:link w:val="0"/>
    <w:uiPriority w:val="0"/>
  </w:style>
  <w:style w:type="paragraph" w:styleId="19" w:customStyle="1">
    <w:name w:val="一太郎ランクスタイル５"/>
    <w:basedOn w:val="0"/>
    <w:next w:val="19"/>
    <w:link w:val="0"/>
    <w:uiPriority w:val="0"/>
  </w:style>
  <w:style w:type="paragraph" w:styleId="20" w:customStyle="1">
    <w:name w:val="一太郎ランクスタイル６"/>
    <w:basedOn w:val="0"/>
    <w:next w:val="20"/>
    <w:link w:val="0"/>
    <w:uiPriority w:val="0"/>
  </w:style>
  <w:style w:type="paragraph" w:styleId="21" w:customStyle="1">
    <w:name w:val="一太郎ランクスタイル７"/>
    <w:basedOn w:val="0"/>
    <w:next w:val="21"/>
    <w:link w:val="0"/>
    <w:uiPriority w:val="0"/>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basedOn w:val="10"/>
    <w:next w:val="23"/>
    <w:link w:val="22"/>
    <w:uiPriority w:val="0"/>
    <w:rPr>
      <w:color w:val="000000"/>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basedOn w:val="10"/>
    <w:next w:val="25"/>
    <w:link w:val="24"/>
    <w:uiPriority w:val="0"/>
    <w:rPr>
      <w:color w:val="000000"/>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character" w:styleId="28">
    <w:name w:val="page number"/>
    <w:basedOn w:val="10"/>
    <w:next w:val="28"/>
    <w:link w:val="0"/>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1007</TotalTime>
  <Pages>17</Pages>
  <Words>137</Words>
  <Characters>15749</Characters>
  <Application>JUST Note</Application>
  <Lines>8610</Lines>
  <Paragraphs>276</Paragraphs>
  <CharactersWithSpaces>16074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干場　輝夫</dc:creator>
  <cp:lastModifiedBy>山下　亜希子</cp:lastModifiedBy>
  <cp:lastPrinted>2017-06-20T09:19:00Z</cp:lastPrinted>
  <dcterms:created xsi:type="dcterms:W3CDTF">2022-09-14T05:58:00Z</dcterms:created>
  <dcterms:modified xsi:type="dcterms:W3CDTF">2022-12-14T04:24:15Z</dcterms:modified>
  <cp:revision>25</cp:revision>
</cp:coreProperties>
</file>